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1486E" w14:textId="77777777" w:rsidR="000804BD" w:rsidRPr="00CD7CD8" w:rsidRDefault="00874AFD" w:rsidP="00CD7CD8">
      <w:r w:rsidRPr="00CD7CD8">
        <w:drawing>
          <wp:anchor distT="0" distB="0" distL="114300" distR="114300" simplePos="0" relativeHeight="251664384" behindDoc="0" locked="0" layoutInCell="1" allowOverlap="1" wp14:anchorId="3374D1B1" wp14:editId="239D341E">
            <wp:simplePos x="0" y="0"/>
            <wp:positionH relativeFrom="column">
              <wp:posOffset>1689735</wp:posOffset>
            </wp:positionH>
            <wp:positionV relativeFrom="paragraph">
              <wp:posOffset>-167640</wp:posOffset>
            </wp:positionV>
            <wp:extent cx="1981200" cy="60007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7CD8">
        <w:drawing>
          <wp:anchor distT="0" distB="0" distL="114300" distR="114300" simplePos="0" relativeHeight="251661312" behindDoc="1" locked="0" layoutInCell="1" allowOverlap="1" wp14:anchorId="60E51AF1" wp14:editId="50478AA8">
            <wp:simplePos x="0" y="0"/>
            <wp:positionH relativeFrom="page">
              <wp:posOffset>4859020</wp:posOffset>
            </wp:positionH>
            <wp:positionV relativeFrom="page">
              <wp:posOffset>780415</wp:posOffset>
            </wp:positionV>
            <wp:extent cx="1556385" cy="422275"/>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6385" cy="422275"/>
                    </a:xfrm>
                    <a:prstGeom prst="rect">
                      <a:avLst/>
                    </a:prstGeom>
                    <a:noFill/>
                  </pic:spPr>
                </pic:pic>
              </a:graphicData>
            </a:graphic>
            <wp14:sizeRelH relativeFrom="page">
              <wp14:pctWidth>0</wp14:pctWidth>
            </wp14:sizeRelH>
            <wp14:sizeRelV relativeFrom="page">
              <wp14:pctHeight>0</wp14:pctHeight>
            </wp14:sizeRelV>
          </wp:anchor>
        </w:drawing>
      </w:r>
      <w:r w:rsidRPr="00CD7CD8">
        <w:drawing>
          <wp:anchor distT="0" distB="0" distL="114300" distR="114300" simplePos="0" relativeHeight="251667456" behindDoc="0" locked="0" layoutInCell="1" allowOverlap="1" wp14:anchorId="639F3994" wp14:editId="6E70C7D7">
            <wp:simplePos x="0" y="0"/>
            <wp:positionH relativeFrom="column">
              <wp:posOffset>0</wp:posOffset>
            </wp:positionH>
            <wp:positionV relativeFrom="paragraph">
              <wp:posOffset>-190500</wp:posOffset>
            </wp:positionV>
            <wp:extent cx="1362075" cy="619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07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464" w:rsidRPr="00CD7CD8">
        <w:tab/>
      </w:r>
    </w:p>
    <w:p w14:paraId="3A545BDC" w14:textId="77777777" w:rsidR="000804BD" w:rsidRPr="00CD7CD8" w:rsidRDefault="000804BD" w:rsidP="00CD7CD8"/>
    <w:p w14:paraId="5154CDBA" w14:textId="77777777" w:rsidR="000804BD" w:rsidRPr="00B07777" w:rsidRDefault="000804BD" w:rsidP="007837FC">
      <w:pPr>
        <w:spacing w:before="120" w:after="120"/>
        <w:rPr>
          <w:rFonts w:ascii="Garamond" w:hAnsi="Garamond"/>
          <w:b/>
          <w:color w:val="000000"/>
        </w:rPr>
      </w:pPr>
    </w:p>
    <w:p w14:paraId="3D654B5C" w14:textId="77777777" w:rsidR="000804BD" w:rsidRPr="00F13D4B" w:rsidRDefault="000804BD" w:rsidP="007837FC">
      <w:pPr>
        <w:spacing w:before="120" w:after="120"/>
        <w:rPr>
          <w:rFonts w:ascii="Garamond" w:hAnsi="Garamond"/>
          <w:b/>
          <w:color w:val="000000"/>
        </w:rPr>
      </w:pPr>
    </w:p>
    <w:p w14:paraId="7208ECC0" w14:textId="77777777" w:rsidR="000804BD" w:rsidRPr="00F13D4B" w:rsidRDefault="000804BD" w:rsidP="007837FC">
      <w:pPr>
        <w:spacing w:before="120" w:after="120"/>
        <w:rPr>
          <w:rFonts w:ascii="Garamond" w:hAnsi="Garamond"/>
          <w:b/>
          <w:color w:val="000000"/>
        </w:rPr>
      </w:pPr>
    </w:p>
    <w:p w14:paraId="5B6F63E8" w14:textId="77777777" w:rsidR="000804BD" w:rsidRPr="00F13D4B" w:rsidRDefault="000804BD" w:rsidP="007837FC">
      <w:pPr>
        <w:spacing w:before="120" w:after="120"/>
        <w:rPr>
          <w:rFonts w:ascii="Garamond" w:hAnsi="Garamond" w:cs="Arial"/>
          <w:b/>
          <w:color w:val="000000"/>
        </w:rPr>
      </w:pPr>
    </w:p>
    <w:p w14:paraId="5B589352" w14:textId="77777777" w:rsidR="000804BD" w:rsidRPr="00016E69" w:rsidRDefault="000804BD" w:rsidP="007837FC">
      <w:pPr>
        <w:spacing w:before="120" w:after="120"/>
        <w:jc w:val="center"/>
        <w:rPr>
          <w:rFonts w:ascii="Garamond" w:hAnsi="Garamond" w:cs="Arial"/>
          <w:color w:val="000000"/>
          <w:sz w:val="28"/>
        </w:rPr>
      </w:pPr>
      <w:r w:rsidRPr="00016E69">
        <w:rPr>
          <w:rFonts w:ascii="Garamond" w:hAnsi="Garamond" w:cs="Arial"/>
          <w:color w:val="000000"/>
          <w:sz w:val="28"/>
        </w:rPr>
        <w:t xml:space="preserve">EU Project </w:t>
      </w:r>
      <w:r w:rsidR="00911730" w:rsidRPr="00016E69">
        <w:rPr>
          <w:rFonts w:ascii="Garamond" w:hAnsi="Garamond" w:cs="Arial"/>
          <w:color w:val="000000"/>
          <w:sz w:val="28"/>
        </w:rPr>
        <w:t>“</w:t>
      </w:r>
      <w:r w:rsidRPr="00016E69">
        <w:rPr>
          <w:rFonts w:ascii="Garamond" w:hAnsi="Garamond" w:cs="Arial"/>
          <w:color w:val="000000"/>
          <w:sz w:val="28"/>
        </w:rPr>
        <w:t xml:space="preserve">Implementation of the </w:t>
      </w:r>
    </w:p>
    <w:p w14:paraId="70189B09" w14:textId="77777777" w:rsidR="000804BD" w:rsidRPr="00016E69" w:rsidRDefault="000804BD" w:rsidP="007837FC">
      <w:pPr>
        <w:spacing w:before="120" w:after="120"/>
        <w:jc w:val="center"/>
        <w:rPr>
          <w:rFonts w:ascii="Garamond" w:hAnsi="Garamond" w:cs="Arial"/>
          <w:color w:val="000000"/>
          <w:sz w:val="28"/>
        </w:rPr>
      </w:pPr>
      <w:r w:rsidRPr="00016E69">
        <w:rPr>
          <w:rFonts w:ascii="Garamond" w:hAnsi="Garamond" w:cs="Arial"/>
          <w:color w:val="000000"/>
          <w:sz w:val="28"/>
        </w:rPr>
        <w:t>New Insolvency Regulation</w:t>
      </w:r>
      <w:r w:rsidR="00911730" w:rsidRPr="00016E69">
        <w:rPr>
          <w:rFonts w:ascii="Garamond" w:hAnsi="Garamond" w:cs="Arial"/>
          <w:color w:val="000000"/>
          <w:sz w:val="28"/>
        </w:rPr>
        <w:t>”</w:t>
      </w:r>
      <w:r w:rsidRPr="00016E69">
        <w:rPr>
          <w:rFonts w:ascii="Garamond" w:hAnsi="Garamond" w:cs="Arial"/>
          <w:color w:val="000000"/>
          <w:sz w:val="28"/>
        </w:rPr>
        <w:t>:</w:t>
      </w:r>
    </w:p>
    <w:p w14:paraId="7B0097D6" w14:textId="77777777" w:rsidR="000804BD" w:rsidRPr="00016E69" w:rsidRDefault="000804BD" w:rsidP="007837FC">
      <w:pPr>
        <w:spacing w:before="120" w:after="120"/>
        <w:rPr>
          <w:rFonts w:ascii="Garamond" w:hAnsi="Garamond" w:cs="Arial"/>
          <w:color w:val="000000"/>
        </w:rPr>
      </w:pPr>
    </w:p>
    <w:p w14:paraId="60CDD86A" w14:textId="77777777" w:rsidR="000804BD" w:rsidRPr="002F10D8" w:rsidRDefault="000804BD" w:rsidP="007837FC">
      <w:pPr>
        <w:spacing w:before="120" w:after="120"/>
        <w:jc w:val="center"/>
        <w:rPr>
          <w:rFonts w:ascii="Garamond" w:hAnsi="Garamond" w:cs="Arial"/>
          <w:b/>
          <w:color w:val="000000"/>
          <w:sz w:val="36"/>
        </w:rPr>
      </w:pPr>
      <w:r w:rsidRPr="002F10D8">
        <w:rPr>
          <w:rFonts w:ascii="Garamond" w:hAnsi="Garamond" w:cs="Arial"/>
          <w:b/>
          <w:color w:val="000000"/>
          <w:sz w:val="36"/>
        </w:rPr>
        <w:t>Questionnaire</w:t>
      </w:r>
    </w:p>
    <w:p w14:paraId="53F43518" w14:textId="77777777" w:rsidR="000804BD" w:rsidRPr="00016E69" w:rsidRDefault="000804BD" w:rsidP="007837FC">
      <w:pPr>
        <w:spacing w:before="120" w:after="120"/>
        <w:rPr>
          <w:rFonts w:ascii="Garamond" w:hAnsi="Garamond" w:cs="Arial"/>
          <w:b/>
          <w:color w:val="000000"/>
        </w:rPr>
      </w:pPr>
    </w:p>
    <w:p w14:paraId="5AA5CAB6" w14:textId="77777777" w:rsidR="000804BD" w:rsidRPr="00016E69" w:rsidRDefault="000804BD" w:rsidP="007837FC">
      <w:pPr>
        <w:spacing w:before="120" w:after="120"/>
        <w:jc w:val="center"/>
        <w:rPr>
          <w:rFonts w:ascii="Garamond" w:hAnsi="Garamond" w:cs="Arial"/>
          <w:color w:val="000000"/>
          <w:sz w:val="24"/>
        </w:rPr>
      </w:pPr>
      <w:r w:rsidRPr="00016E69">
        <w:rPr>
          <w:rFonts w:ascii="Garamond" w:hAnsi="Garamond" w:cs="Arial"/>
          <w:color w:val="000000"/>
          <w:sz w:val="24"/>
        </w:rPr>
        <w:t>(JUST/2013/JCIV/AG/4679)</w:t>
      </w:r>
    </w:p>
    <w:p w14:paraId="255E7EA9" w14:textId="77777777" w:rsidR="000804BD" w:rsidRPr="00016E69" w:rsidRDefault="000804BD" w:rsidP="007837FC">
      <w:pPr>
        <w:spacing w:before="120" w:after="120"/>
        <w:rPr>
          <w:rFonts w:ascii="Garamond" w:hAnsi="Garamond"/>
          <w:b/>
          <w:color w:val="000000"/>
        </w:rPr>
      </w:pPr>
    </w:p>
    <w:p w14:paraId="352DEB5E" w14:textId="77777777" w:rsidR="000804BD" w:rsidRPr="00016E69" w:rsidRDefault="000804BD" w:rsidP="007837FC">
      <w:pPr>
        <w:spacing w:before="120" w:after="120"/>
        <w:rPr>
          <w:rFonts w:ascii="Garamond" w:hAnsi="Garamond"/>
          <w:b/>
          <w:color w:val="000000"/>
        </w:rPr>
      </w:pPr>
    </w:p>
    <w:p w14:paraId="3DAB440C" w14:textId="77777777" w:rsidR="000804BD" w:rsidRPr="00016E69" w:rsidRDefault="000804BD" w:rsidP="007837FC">
      <w:pPr>
        <w:spacing w:before="120" w:after="120"/>
        <w:rPr>
          <w:rFonts w:ascii="Garamond" w:hAnsi="Garamond"/>
          <w:b/>
          <w:color w:val="000000"/>
        </w:rPr>
      </w:pPr>
    </w:p>
    <w:p w14:paraId="6E5E6476" w14:textId="77777777" w:rsidR="000804BD" w:rsidRPr="00016E69" w:rsidRDefault="000804BD" w:rsidP="007837FC">
      <w:pPr>
        <w:spacing w:before="120" w:after="120"/>
        <w:jc w:val="center"/>
        <w:rPr>
          <w:rFonts w:ascii="Garamond" w:hAnsi="Garamond"/>
          <w:b/>
          <w:color w:val="000000"/>
        </w:rPr>
      </w:pPr>
      <w:r w:rsidRPr="00016E69">
        <w:rPr>
          <w:rFonts w:ascii="Garamond" w:hAnsi="Garamond"/>
          <w:noProof/>
          <w:lang w:val="de-DE" w:eastAsia="de-DE"/>
        </w:rPr>
        <w:drawing>
          <wp:inline distT="0" distB="0" distL="0" distR="0" wp14:anchorId="77AF8494" wp14:editId="237E1D2D">
            <wp:extent cx="914400" cy="6280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628015"/>
                    </a:xfrm>
                    <a:prstGeom prst="rect">
                      <a:avLst/>
                    </a:prstGeom>
                    <a:noFill/>
                    <a:ln>
                      <a:noFill/>
                    </a:ln>
                  </pic:spPr>
                </pic:pic>
              </a:graphicData>
            </a:graphic>
          </wp:inline>
        </w:drawing>
      </w:r>
    </w:p>
    <w:p w14:paraId="3640F67C" w14:textId="77777777" w:rsidR="000804BD" w:rsidRPr="00F13D4B" w:rsidRDefault="000804BD" w:rsidP="007837FC">
      <w:pPr>
        <w:spacing w:before="120" w:after="120"/>
        <w:jc w:val="center"/>
        <w:rPr>
          <w:rFonts w:ascii="Garamond" w:hAnsi="Garamond" w:cs="Arial"/>
          <w:color w:val="000000"/>
        </w:rPr>
      </w:pPr>
      <w:r w:rsidRPr="00AA6D5E">
        <w:rPr>
          <w:rFonts w:ascii="Garamond" w:hAnsi="Garamond" w:cs="Arial"/>
          <w:color w:val="000000"/>
        </w:rPr>
        <w:t>Co</w:t>
      </w:r>
      <w:r w:rsidR="00911730" w:rsidRPr="00B07777">
        <w:rPr>
          <w:rFonts w:ascii="Garamond" w:hAnsi="Garamond" w:cs="Arial"/>
          <w:color w:val="000000"/>
        </w:rPr>
        <w:t>-</w:t>
      </w:r>
      <w:r w:rsidRPr="00F13D4B">
        <w:rPr>
          <w:rFonts w:ascii="Garamond" w:hAnsi="Garamond" w:cs="Arial"/>
          <w:color w:val="000000"/>
        </w:rPr>
        <w:t>funded by</w:t>
      </w:r>
    </w:p>
    <w:p w14:paraId="753CB102" w14:textId="77777777" w:rsidR="000804BD" w:rsidRPr="00F13D4B" w:rsidRDefault="000804BD" w:rsidP="007837FC">
      <w:pPr>
        <w:spacing w:before="120" w:after="120"/>
        <w:jc w:val="center"/>
        <w:rPr>
          <w:rFonts w:ascii="Garamond" w:hAnsi="Garamond" w:cs="Arial"/>
          <w:b/>
          <w:color w:val="000000"/>
        </w:rPr>
      </w:pPr>
      <w:proofErr w:type="gramStart"/>
      <w:r w:rsidRPr="00F13D4B">
        <w:rPr>
          <w:rFonts w:ascii="Garamond" w:hAnsi="Garamond" w:cs="Arial"/>
          <w:color w:val="000000"/>
        </w:rPr>
        <w:t>the</w:t>
      </w:r>
      <w:proofErr w:type="gramEnd"/>
      <w:r w:rsidRPr="00F13D4B">
        <w:rPr>
          <w:rFonts w:ascii="Garamond" w:hAnsi="Garamond" w:cs="Arial"/>
          <w:color w:val="000000"/>
        </w:rPr>
        <w:t xml:space="preserve"> European Union</w:t>
      </w:r>
    </w:p>
    <w:p w14:paraId="345FA23F" w14:textId="77777777" w:rsidR="000804BD" w:rsidRPr="00016E69" w:rsidRDefault="000804BD" w:rsidP="007837FC">
      <w:pPr>
        <w:spacing w:before="120" w:after="120"/>
        <w:rPr>
          <w:rFonts w:ascii="Garamond" w:hAnsi="Garamond"/>
          <w:b/>
          <w:color w:val="000000"/>
        </w:rPr>
      </w:pPr>
    </w:p>
    <w:p w14:paraId="53E022ED" w14:textId="77777777" w:rsidR="007A5444" w:rsidRPr="00016E69" w:rsidRDefault="007A5444" w:rsidP="007837FC">
      <w:pPr>
        <w:spacing w:before="120" w:after="120"/>
        <w:rPr>
          <w:rFonts w:ascii="Garamond" w:hAnsi="Garamond"/>
          <w:b/>
          <w:color w:val="000000"/>
        </w:rPr>
      </w:pPr>
      <w:r w:rsidRPr="00016E69">
        <w:rPr>
          <w:rFonts w:ascii="Garamond" w:hAnsi="Garamond"/>
          <w:b/>
          <w:color w:val="000000"/>
        </w:rPr>
        <w:br w:type="page"/>
      </w:r>
    </w:p>
    <w:p w14:paraId="58A8C858" w14:textId="77777777" w:rsidR="00B946AE" w:rsidRPr="00016E69" w:rsidRDefault="00E54F31" w:rsidP="00CD7CD8">
      <w:pPr>
        <w:pStyle w:val="berschrift1"/>
      </w:pPr>
      <w:r w:rsidRPr="00016E69">
        <w:lastRenderedPageBreak/>
        <w:t>Introductory remarks</w:t>
      </w:r>
    </w:p>
    <w:p w14:paraId="5E1AC789" w14:textId="77777777" w:rsidR="00B946AE" w:rsidRPr="00016E69" w:rsidRDefault="00B946AE" w:rsidP="007837FC">
      <w:pPr>
        <w:spacing w:before="120" w:after="120"/>
        <w:jc w:val="both"/>
        <w:rPr>
          <w:rFonts w:ascii="Garamond" w:hAnsi="Garamond"/>
          <w:sz w:val="24"/>
          <w:szCs w:val="24"/>
        </w:rPr>
      </w:pPr>
      <w:r w:rsidRPr="00016E69">
        <w:rPr>
          <w:rFonts w:ascii="Garamond" w:hAnsi="Garamond"/>
          <w:sz w:val="24"/>
          <w:szCs w:val="24"/>
        </w:rPr>
        <w:t xml:space="preserve">This paper aims at exploring uncertainties regarding the interpretation and application </w:t>
      </w:r>
      <w:r w:rsidR="00BE11BE" w:rsidRPr="00016E69">
        <w:rPr>
          <w:rFonts w:ascii="Garamond" w:hAnsi="Garamond"/>
          <w:sz w:val="24"/>
          <w:szCs w:val="24"/>
        </w:rPr>
        <w:t>of the new Insolvency Regulation</w:t>
      </w:r>
      <w:r w:rsidRPr="00016E69">
        <w:rPr>
          <w:rFonts w:ascii="Garamond" w:hAnsi="Garamond"/>
          <w:sz w:val="24"/>
          <w:szCs w:val="24"/>
        </w:rPr>
        <w:t xml:space="preserve">. Its authors identified three areas which deserve further discussion: the </w:t>
      </w:r>
      <w:r w:rsidR="00BE11BE" w:rsidRPr="00016E69">
        <w:rPr>
          <w:rFonts w:ascii="Garamond" w:hAnsi="Garamond"/>
          <w:sz w:val="24"/>
          <w:szCs w:val="24"/>
        </w:rPr>
        <w:t>extension of the</w:t>
      </w:r>
      <w:r w:rsidRPr="00016E69">
        <w:rPr>
          <w:rFonts w:ascii="Garamond" w:hAnsi="Garamond"/>
          <w:sz w:val="24"/>
          <w:szCs w:val="24"/>
        </w:rPr>
        <w:t xml:space="preserve"> scope of the EIR, the coordination of main and secondary proceedings and the new </w:t>
      </w:r>
      <w:r w:rsidR="00BE11BE" w:rsidRPr="00016E69">
        <w:rPr>
          <w:rFonts w:ascii="Garamond" w:hAnsi="Garamond"/>
          <w:sz w:val="24"/>
          <w:szCs w:val="24"/>
        </w:rPr>
        <w:t>group coordination proceedings</w:t>
      </w:r>
      <w:r w:rsidRPr="00016E69">
        <w:rPr>
          <w:rFonts w:ascii="Garamond" w:hAnsi="Garamond"/>
          <w:sz w:val="24"/>
          <w:szCs w:val="24"/>
        </w:rPr>
        <w:t xml:space="preserve">. In order </w:t>
      </w:r>
      <w:r w:rsidR="00854ED4" w:rsidRPr="00016E69">
        <w:rPr>
          <w:rFonts w:ascii="Garamond" w:hAnsi="Garamond"/>
          <w:sz w:val="24"/>
          <w:szCs w:val="24"/>
        </w:rPr>
        <w:t xml:space="preserve">to initially </w:t>
      </w:r>
      <w:proofErr w:type="gramStart"/>
      <w:r w:rsidR="00854ED4" w:rsidRPr="00016E69">
        <w:rPr>
          <w:rFonts w:ascii="Garamond" w:hAnsi="Garamond"/>
          <w:sz w:val="24"/>
          <w:szCs w:val="24"/>
        </w:rPr>
        <w:t xml:space="preserve">assess </w:t>
      </w:r>
      <w:r w:rsidRPr="00016E69">
        <w:rPr>
          <w:rFonts w:ascii="Garamond" w:hAnsi="Garamond"/>
          <w:sz w:val="24"/>
          <w:szCs w:val="24"/>
        </w:rPr>
        <w:t xml:space="preserve"> the</w:t>
      </w:r>
      <w:proofErr w:type="gramEnd"/>
      <w:r w:rsidRPr="00016E69">
        <w:rPr>
          <w:rFonts w:ascii="Garamond" w:hAnsi="Garamond"/>
          <w:sz w:val="24"/>
          <w:szCs w:val="24"/>
        </w:rPr>
        <w:t xml:space="preserve"> problems identified, the structure of this paper consists of two parts</w:t>
      </w:r>
      <w:r w:rsidR="00302E85" w:rsidRPr="00016E69">
        <w:rPr>
          <w:rFonts w:ascii="Garamond" w:hAnsi="Garamond"/>
          <w:sz w:val="24"/>
          <w:szCs w:val="24"/>
        </w:rPr>
        <w:t xml:space="preserve"> for each of the areas under scrutiny</w:t>
      </w:r>
      <w:r w:rsidRPr="00016E69">
        <w:rPr>
          <w:rFonts w:ascii="Garamond" w:hAnsi="Garamond"/>
          <w:sz w:val="24"/>
          <w:szCs w:val="24"/>
        </w:rPr>
        <w:t>: In the first part the authors describe the regulatory approach of the new EIR and identify problems. The second part provides for a questionnaire</w:t>
      </w:r>
      <w:r w:rsidR="00BE11BE" w:rsidRPr="00016E69">
        <w:rPr>
          <w:rFonts w:ascii="Garamond" w:hAnsi="Garamond"/>
          <w:sz w:val="24"/>
          <w:szCs w:val="24"/>
        </w:rPr>
        <w:t xml:space="preserve"> </w:t>
      </w:r>
      <w:r w:rsidR="00854ED4" w:rsidRPr="00016E69">
        <w:rPr>
          <w:rFonts w:ascii="Garamond" w:hAnsi="Garamond"/>
          <w:sz w:val="24"/>
          <w:szCs w:val="24"/>
        </w:rPr>
        <w:t xml:space="preserve">to be </w:t>
      </w:r>
      <w:r w:rsidR="00BE11BE" w:rsidRPr="00016E69">
        <w:rPr>
          <w:rFonts w:ascii="Garamond" w:hAnsi="Garamond"/>
          <w:sz w:val="24"/>
          <w:szCs w:val="24"/>
        </w:rPr>
        <w:t>answer</w:t>
      </w:r>
      <w:r w:rsidR="00854ED4" w:rsidRPr="00016E69">
        <w:rPr>
          <w:rFonts w:ascii="Garamond" w:hAnsi="Garamond"/>
          <w:sz w:val="24"/>
          <w:szCs w:val="24"/>
        </w:rPr>
        <w:t>ed by the respondents</w:t>
      </w:r>
      <w:r w:rsidRPr="00016E69">
        <w:rPr>
          <w:rFonts w:ascii="Garamond" w:hAnsi="Garamond"/>
          <w:sz w:val="24"/>
          <w:szCs w:val="24"/>
        </w:rPr>
        <w:t xml:space="preserve">. </w:t>
      </w:r>
      <w:r w:rsidR="00854ED4" w:rsidRPr="00016E69">
        <w:rPr>
          <w:rFonts w:ascii="Garamond" w:hAnsi="Garamond"/>
          <w:sz w:val="24"/>
          <w:szCs w:val="24"/>
        </w:rPr>
        <w:t>For your convenience</w:t>
      </w:r>
      <w:r w:rsidRPr="00016E69">
        <w:rPr>
          <w:rFonts w:ascii="Garamond" w:hAnsi="Garamond"/>
          <w:sz w:val="24"/>
          <w:szCs w:val="24"/>
        </w:rPr>
        <w:t>, the questionnaire provides for possible answers</w:t>
      </w:r>
      <w:r w:rsidR="005E5BB1" w:rsidRPr="00016E69">
        <w:rPr>
          <w:rFonts w:ascii="Garamond" w:hAnsi="Garamond"/>
          <w:sz w:val="24"/>
          <w:szCs w:val="24"/>
        </w:rPr>
        <w:t>,</w:t>
      </w:r>
      <w:r w:rsidRPr="00016E69">
        <w:rPr>
          <w:rFonts w:ascii="Garamond" w:hAnsi="Garamond"/>
          <w:sz w:val="24"/>
          <w:szCs w:val="24"/>
        </w:rPr>
        <w:t xml:space="preserve"> which can be </w:t>
      </w:r>
      <w:proofErr w:type="spellStart"/>
      <w:r w:rsidR="005E5BB1" w:rsidRPr="00016E69">
        <w:rPr>
          <w:rFonts w:ascii="Garamond" w:hAnsi="Garamond"/>
          <w:sz w:val="24"/>
          <w:szCs w:val="24"/>
        </w:rPr>
        <w:t>simply</w:t>
      </w:r>
      <w:r w:rsidRPr="00AA6D5E">
        <w:rPr>
          <w:rFonts w:ascii="Garamond" w:hAnsi="Garamond"/>
          <w:sz w:val="24"/>
          <w:szCs w:val="24"/>
        </w:rPr>
        <w:t>cross</w:t>
      </w:r>
      <w:proofErr w:type="spellEnd"/>
      <w:r w:rsidR="00854ED4" w:rsidRPr="00AA6D5E">
        <w:rPr>
          <w:rFonts w:ascii="Garamond" w:hAnsi="Garamond"/>
          <w:sz w:val="24"/>
          <w:szCs w:val="24"/>
        </w:rPr>
        <w:t>-checked</w:t>
      </w:r>
      <w:r w:rsidRPr="00AA6D5E">
        <w:rPr>
          <w:rFonts w:ascii="Garamond" w:hAnsi="Garamond"/>
          <w:sz w:val="24"/>
          <w:szCs w:val="24"/>
        </w:rPr>
        <w:t xml:space="preserve">. However, </w:t>
      </w:r>
      <w:r w:rsidR="00854ED4" w:rsidRPr="00B07777">
        <w:rPr>
          <w:rFonts w:ascii="Garamond" w:hAnsi="Garamond"/>
          <w:sz w:val="24"/>
          <w:szCs w:val="24"/>
        </w:rPr>
        <w:t xml:space="preserve">more </w:t>
      </w:r>
      <w:r w:rsidR="00854ED4" w:rsidRPr="00F13D4B">
        <w:rPr>
          <w:rFonts w:ascii="Garamond" w:hAnsi="Garamond"/>
          <w:sz w:val="24"/>
          <w:szCs w:val="24"/>
        </w:rPr>
        <w:t>elaborate</w:t>
      </w:r>
      <w:r w:rsidR="00BE11BE" w:rsidRPr="00F13D4B">
        <w:rPr>
          <w:rFonts w:ascii="Garamond" w:hAnsi="Garamond"/>
          <w:sz w:val="24"/>
          <w:szCs w:val="24"/>
        </w:rPr>
        <w:t xml:space="preserve"> </w:t>
      </w:r>
      <w:proofErr w:type="spellStart"/>
      <w:r w:rsidR="00BE11BE" w:rsidRPr="00F13D4B">
        <w:rPr>
          <w:rFonts w:ascii="Garamond" w:hAnsi="Garamond"/>
          <w:sz w:val="24"/>
          <w:szCs w:val="24"/>
        </w:rPr>
        <w:t>answers</w:t>
      </w:r>
      <w:r w:rsidR="00BE11BE" w:rsidRPr="00016E69">
        <w:rPr>
          <w:rFonts w:ascii="Garamond" w:hAnsi="Garamond"/>
          <w:sz w:val="24"/>
          <w:szCs w:val="24"/>
        </w:rPr>
        <w:t>would</w:t>
      </w:r>
      <w:proofErr w:type="spellEnd"/>
      <w:r w:rsidR="00BE11BE" w:rsidRPr="00016E69">
        <w:rPr>
          <w:rFonts w:ascii="Garamond" w:hAnsi="Garamond"/>
          <w:sz w:val="24"/>
          <w:szCs w:val="24"/>
        </w:rPr>
        <w:t xml:space="preserve"> be</w:t>
      </w:r>
      <w:r w:rsidRPr="00016E69">
        <w:rPr>
          <w:rFonts w:ascii="Garamond" w:hAnsi="Garamond"/>
          <w:sz w:val="24"/>
          <w:szCs w:val="24"/>
        </w:rPr>
        <w:t xml:space="preserve"> </w:t>
      </w:r>
      <w:r w:rsidR="00BE11BE" w:rsidRPr="00016E69">
        <w:rPr>
          <w:rFonts w:ascii="Garamond" w:hAnsi="Garamond"/>
          <w:sz w:val="24"/>
          <w:szCs w:val="24"/>
        </w:rPr>
        <w:t>more than welcome</w:t>
      </w:r>
      <w:r w:rsidRPr="00016E69">
        <w:rPr>
          <w:rFonts w:ascii="Garamond" w:hAnsi="Garamond"/>
          <w:sz w:val="24"/>
          <w:szCs w:val="24"/>
        </w:rPr>
        <w:t xml:space="preserve"> by the research team.</w:t>
      </w:r>
      <w:r w:rsidR="0019671F" w:rsidRPr="00016E69">
        <w:rPr>
          <w:rFonts w:ascii="Garamond" w:hAnsi="Garamond"/>
          <w:sz w:val="24"/>
          <w:szCs w:val="24"/>
        </w:rPr>
        <w:t xml:space="preserve"> </w:t>
      </w:r>
    </w:p>
    <w:p w14:paraId="4465BE5E" w14:textId="77777777" w:rsidR="00A52B15" w:rsidRPr="00016E69" w:rsidRDefault="00A52B15" w:rsidP="007837FC">
      <w:pPr>
        <w:spacing w:before="120" w:after="120"/>
        <w:jc w:val="both"/>
        <w:rPr>
          <w:rFonts w:ascii="Garamond" w:hAnsi="Garamond"/>
          <w:sz w:val="24"/>
          <w:szCs w:val="24"/>
        </w:rPr>
      </w:pPr>
    </w:p>
    <w:p w14:paraId="0E44EFB2" w14:textId="77777777" w:rsidR="00A52B15" w:rsidRPr="00016E69" w:rsidRDefault="00601042" w:rsidP="00601042">
      <w:pPr>
        <w:spacing w:before="120" w:after="120"/>
        <w:jc w:val="center"/>
        <w:rPr>
          <w:rFonts w:ascii="Garamond" w:hAnsi="Garamond"/>
          <w:i/>
          <w:sz w:val="24"/>
          <w:szCs w:val="24"/>
        </w:rPr>
      </w:pPr>
      <w:proofErr w:type="spellStart"/>
      <w:r>
        <w:rPr>
          <w:rFonts w:ascii="Garamond" w:hAnsi="Garamond"/>
          <w:i/>
          <w:sz w:val="24"/>
          <w:szCs w:val="24"/>
        </w:rPr>
        <w:t>Burkhard</w:t>
      </w:r>
      <w:proofErr w:type="spellEnd"/>
      <w:r>
        <w:rPr>
          <w:rFonts w:ascii="Garamond" w:hAnsi="Garamond"/>
          <w:i/>
          <w:sz w:val="24"/>
          <w:szCs w:val="24"/>
        </w:rPr>
        <w:t xml:space="preserve"> Hess</w:t>
      </w:r>
      <w:r>
        <w:rPr>
          <w:rFonts w:ascii="Garamond" w:hAnsi="Garamond"/>
          <w:i/>
          <w:sz w:val="24"/>
          <w:szCs w:val="24"/>
        </w:rPr>
        <w:tab/>
      </w:r>
      <w:r>
        <w:rPr>
          <w:rFonts w:ascii="Garamond" w:hAnsi="Garamond"/>
          <w:i/>
          <w:sz w:val="24"/>
          <w:szCs w:val="24"/>
        </w:rPr>
        <w:tab/>
      </w:r>
      <w:proofErr w:type="spellStart"/>
      <w:r>
        <w:rPr>
          <w:rFonts w:ascii="Garamond" w:hAnsi="Garamond"/>
          <w:i/>
          <w:sz w:val="24"/>
          <w:szCs w:val="24"/>
        </w:rPr>
        <w:t>Stephania</w:t>
      </w:r>
      <w:proofErr w:type="spellEnd"/>
      <w:r>
        <w:rPr>
          <w:rFonts w:ascii="Garamond" w:hAnsi="Garamond"/>
          <w:i/>
          <w:sz w:val="24"/>
          <w:szCs w:val="24"/>
        </w:rPr>
        <w:t xml:space="preserve"> </w:t>
      </w:r>
      <w:proofErr w:type="spellStart"/>
      <w:r>
        <w:rPr>
          <w:rFonts w:ascii="Garamond" w:hAnsi="Garamond"/>
          <w:i/>
          <w:sz w:val="24"/>
          <w:szCs w:val="24"/>
        </w:rPr>
        <w:t>Bariatti</w:t>
      </w:r>
      <w:proofErr w:type="spellEnd"/>
      <w:r>
        <w:rPr>
          <w:rFonts w:ascii="Garamond" w:hAnsi="Garamond"/>
          <w:i/>
          <w:sz w:val="24"/>
          <w:szCs w:val="24"/>
        </w:rPr>
        <w:tab/>
      </w:r>
      <w:r>
        <w:rPr>
          <w:rFonts w:ascii="Garamond" w:hAnsi="Garamond"/>
          <w:i/>
          <w:sz w:val="24"/>
          <w:szCs w:val="24"/>
        </w:rPr>
        <w:tab/>
      </w:r>
      <w:r w:rsidR="00A52B15" w:rsidRPr="00016E69">
        <w:rPr>
          <w:rFonts w:ascii="Garamond" w:hAnsi="Garamond"/>
          <w:i/>
          <w:sz w:val="24"/>
          <w:szCs w:val="24"/>
        </w:rPr>
        <w:t xml:space="preserve">Paul </w:t>
      </w:r>
      <w:proofErr w:type="spellStart"/>
      <w:r w:rsidR="00A52B15" w:rsidRPr="00016E69">
        <w:rPr>
          <w:rFonts w:ascii="Garamond" w:hAnsi="Garamond"/>
          <w:i/>
          <w:sz w:val="24"/>
          <w:szCs w:val="24"/>
        </w:rPr>
        <w:t>Oberhammer</w:t>
      </w:r>
      <w:proofErr w:type="spellEnd"/>
    </w:p>
    <w:p w14:paraId="05AC4773" w14:textId="77777777" w:rsidR="00B946AE" w:rsidRPr="00CD7CD8" w:rsidRDefault="00B946AE" w:rsidP="00CD7CD8"/>
    <w:p w14:paraId="3D3DBAB4" w14:textId="77777777" w:rsidR="00A52B15" w:rsidRPr="00016E69" w:rsidRDefault="00A52B15" w:rsidP="007837FC">
      <w:pPr>
        <w:spacing w:before="120" w:after="120"/>
        <w:rPr>
          <w:rFonts w:ascii="Garamond" w:eastAsiaTheme="majorEastAsia" w:hAnsi="Garamond" w:cstheme="majorBidi"/>
          <w:b/>
          <w:bCs/>
          <w:sz w:val="28"/>
        </w:rPr>
      </w:pPr>
      <w:r w:rsidRPr="00016E69">
        <w:rPr>
          <w:rFonts w:ascii="Garamond" w:hAnsi="Garamond"/>
          <w:sz w:val="28"/>
        </w:rPr>
        <w:br w:type="page"/>
      </w:r>
    </w:p>
    <w:p w14:paraId="6420D730" w14:textId="3D21C2ED" w:rsidR="00FF4099" w:rsidRPr="00FD21EC" w:rsidRDefault="00FF4099">
      <w:pPr>
        <w:rPr>
          <w:rFonts w:ascii="Garamond" w:hAnsi="Garamond"/>
          <w:b/>
          <w:smallCaps/>
        </w:rPr>
      </w:pPr>
      <w:r w:rsidRPr="00FD21EC">
        <w:rPr>
          <w:rFonts w:ascii="Garamond" w:hAnsi="Garamond"/>
          <w:b/>
          <w:smallCaps/>
        </w:rPr>
        <w:lastRenderedPageBreak/>
        <w:t>editorial remarks</w:t>
      </w:r>
    </w:p>
    <w:p w14:paraId="032D322E" w14:textId="4BAD1FE6" w:rsidR="00FF4099" w:rsidRPr="00FD21EC" w:rsidRDefault="00FF4099">
      <w:pPr>
        <w:rPr>
          <w:rFonts w:ascii="Garamond" w:hAnsi="Garamond"/>
        </w:rPr>
      </w:pPr>
      <w:r w:rsidRPr="00FD21EC">
        <w:rPr>
          <w:rFonts w:ascii="Garamond" w:hAnsi="Garamond"/>
        </w:rPr>
        <w:t>Please consider providing the following personal information.</w:t>
      </w:r>
    </w:p>
    <w:p w14:paraId="63C3E203" w14:textId="5A3BAFCE" w:rsidR="00FF4099" w:rsidRPr="00FD21EC" w:rsidRDefault="00FF4099" w:rsidP="000F33EA">
      <w:pPr>
        <w:jc w:val="both"/>
        <w:rPr>
          <w:rFonts w:ascii="Garamond" w:hAnsi="Garamond"/>
        </w:rPr>
      </w:pPr>
      <w:r w:rsidRPr="00FD21EC">
        <w:rPr>
          <w:rFonts w:ascii="Garamond" w:hAnsi="Garamond"/>
        </w:rPr>
        <w:t>Any personal data will only be used to keep you up to date with the further evolution of the project and particularly with the study’s upcoming closing conference in Luxembourg, which is open to the public.</w:t>
      </w:r>
    </w:p>
    <w:p w14:paraId="71931B94" w14:textId="77777777" w:rsidR="00B85D92" w:rsidRPr="00FD21EC" w:rsidRDefault="00B85D92">
      <w:pPr>
        <w:rPr>
          <w:rFonts w:ascii="Garamond" w:hAnsi="Garamond"/>
        </w:rPr>
      </w:pPr>
    </w:p>
    <w:p w14:paraId="3395E511" w14:textId="761FE771" w:rsidR="00B85D92" w:rsidRPr="00FD21EC" w:rsidRDefault="00B85D92">
      <w:pPr>
        <w:rPr>
          <w:rFonts w:ascii="Garamond" w:hAnsi="Garamond"/>
          <w:b/>
        </w:rPr>
      </w:pPr>
      <w:r w:rsidRPr="00FD21EC">
        <w:rPr>
          <w:rFonts w:ascii="Garamond" w:hAnsi="Garamond"/>
          <w:b/>
        </w:rPr>
        <w:t>Name</w:t>
      </w:r>
    </w:p>
    <w:p w14:paraId="2F233E75" w14:textId="7FEE2691" w:rsidR="00B85D92" w:rsidRPr="00FD21EC" w:rsidRDefault="00B85D92">
      <w:pPr>
        <w:rPr>
          <w:rFonts w:ascii="Garamond" w:hAnsi="Garamond"/>
          <w:b/>
        </w:rPr>
      </w:pPr>
      <w:r w:rsidRPr="00FD21EC">
        <w:rPr>
          <w:rFonts w:ascii="Garamond" w:hAnsi="Garamond" w:cs="Garamond"/>
        </w:rPr>
        <w:fldChar w:fldCharType="begin">
          <w:ffData>
            <w:name w:val="Text1"/>
            <w:enabled/>
            <w:calcOnExit w:val="0"/>
            <w:textInput/>
          </w:ffData>
        </w:fldChar>
      </w:r>
      <w:r w:rsidRPr="00FD21EC">
        <w:rPr>
          <w:rFonts w:ascii="Garamond" w:hAnsi="Garamond" w:cs="Garamond"/>
        </w:rPr>
        <w:instrText xml:space="preserve"> FORMTEXT </w:instrText>
      </w:r>
      <w:r w:rsidRPr="00FD21EC">
        <w:rPr>
          <w:rFonts w:ascii="Garamond" w:hAnsi="Garamond" w:cs="Garamond"/>
        </w:rPr>
      </w:r>
      <w:r w:rsidRPr="00FD21EC">
        <w:rPr>
          <w:rFonts w:ascii="Garamond" w:hAnsi="Garamond" w:cs="Garamond"/>
        </w:rPr>
        <w:fldChar w:fldCharType="separate"/>
      </w:r>
      <w:bookmarkStart w:id="0" w:name="_GoBack"/>
      <w:r w:rsidRPr="00FD21EC">
        <w:rPr>
          <w:rFonts w:ascii="Garamond" w:hAnsi="Garamond" w:cs="Garamond"/>
          <w:noProof/>
        </w:rPr>
        <w:t> </w:t>
      </w:r>
      <w:r w:rsidRPr="00FD21EC">
        <w:rPr>
          <w:rFonts w:ascii="Garamond" w:hAnsi="Garamond" w:cs="Garamond"/>
          <w:noProof/>
        </w:rPr>
        <w:t> </w:t>
      </w:r>
      <w:r w:rsidRPr="00FD21EC">
        <w:rPr>
          <w:rFonts w:ascii="Garamond" w:hAnsi="Garamond" w:cs="Garamond"/>
          <w:noProof/>
        </w:rPr>
        <w:t> </w:t>
      </w:r>
      <w:r w:rsidRPr="00FD21EC">
        <w:rPr>
          <w:rFonts w:ascii="Garamond" w:hAnsi="Garamond" w:cs="Garamond"/>
          <w:noProof/>
        </w:rPr>
        <w:t> </w:t>
      </w:r>
      <w:r w:rsidRPr="00FD21EC">
        <w:rPr>
          <w:rFonts w:ascii="Garamond" w:hAnsi="Garamond" w:cs="Garamond"/>
          <w:noProof/>
        </w:rPr>
        <w:t> </w:t>
      </w:r>
      <w:bookmarkEnd w:id="0"/>
      <w:r w:rsidRPr="00FD21EC">
        <w:rPr>
          <w:rFonts w:ascii="Garamond" w:hAnsi="Garamond" w:cs="Garamond"/>
        </w:rPr>
        <w:fldChar w:fldCharType="end"/>
      </w:r>
    </w:p>
    <w:p w14:paraId="0A0CFBC4" w14:textId="327736FD" w:rsidR="00B85D92" w:rsidRPr="00FD21EC" w:rsidRDefault="00B85D92">
      <w:pPr>
        <w:rPr>
          <w:rFonts w:ascii="Garamond" w:hAnsi="Garamond"/>
          <w:b/>
        </w:rPr>
      </w:pPr>
      <w:r w:rsidRPr="00FD21EC">
        <w:rPr>
          <w:rFonts w:ascii="Garamond" w:hAnsi="Garamond"/>
          <w:b/>
        </w:rPr>
        <w:t>Profession</w:t>
      </w:r>
    </w:p>
    <w:p w14:paraId="2285498D" w14:textId="450647D3" w:rsidR="00B85D92" w:rsidRPr="00FD21EC" w:rsidRDefault="00B85D92">
      <w:pPr>
        <w:rPr>
          <w:rFonts w:ascii="Garamond" w:hAnsi="Garamond"/>
          <w:b/>
        </w:rPr>
      </w:pPr>
      <w:r w:rsidRPr="00FD21EC">
        <w:rPr>
          <w:rFonts w:ascii="Garamond" w:hAnsi="Garamond" w:cs="Garamond"/>
        </w:rPr>
        <w:fldChar w:fldCharType="begin">
          <w:ffData>
            <w:name w:val="Text1"/>
            <w:enabled/>
            <w:calcOnExit w:val="0"/>
            <w:textInput/>
          </w:ffData>
        </w:fldChar>
      </w:r>
      <w:r w:rsidRPr="00FD21EC">
        <w:rPr>
          <w:rFonts w:ascii="Garamond" w:hAnsi="Garamond" w:cs="Garamond"/>
        </w:rPr>
        <w:instrText xml:space="preserve"> FORMTEXT </w:instrText>
      </w:r>
      <w:r w:rsidRPr="00FD21EC">
        <w:rPr>
          <w:rFonts w:ascii="Garamond" w:hAnsi="Garamond" w:cs="Garamond"/>
        </w:rPr>
      </w:r>
      <w:r w:rsidRPr="00FD21EC">
        <w:rPr>
          <w:rFonts w:ascii="Garamond" w:hAnsi="Garamond" w:cs="Garamond"/>
        </w:rPr>
        <w:fldChar w:fldCharType="separate"/>
      </w:r>
      <w:r w:rsidRPr="00FD21EC">
        <w:rPr>
          <w:rFonts w:ascii="Garamond" w:hAnsi="Garamond" w:cs="Garamond"/>
          <w:noProof/>
        </w:rPr>
        <w:t> </w:t>
      </w:r>
      <w:r w:rsidRPr="00FD21EC">
        <w:rPr>
          <w:rFonts w:ascii="Garamond" w:hAnsi="Garamond" w:cs="Garamond"/>
          <w:noProof/>
        </w:rPr>
        <w:t> </w:t>
      </w:r>
      <w:r w:rsidRPr="00FD21EC">
        <w:rPr>
          <w:rFonts w:ascii="Garamond" w:hAnsi="Garamond" w:cs="Garamond"/>
          <w:noProof/>
        </w:rPr>
        <w:t> </w:t>
      </w:r>
      <w:r w:rsidRPr="00FD21EC">
        <w:rPr>
          <w:rFonts w:ascii="Garamond" w:hAnsi="Garamond" w:cs="Garamond"/>
          <w:noProof/>
        </w:rPr>
        <w:t> </w:t>
      </w:r>
      <w:r w:rsidRPr="00FD21EC">
        <w:rPr>
          <w:rFonts w:ascii="Garamond" w:hAnsi="Garamond" w:cs="Garamond"/>
          <w:noProof/>
        </w:rPr>
        <w:t> </w:t>
      </w:r>
      <w:r w:rsidRPr="00FD21EC">
        <w:rPr>
          <w:rFonts w:ascii="Garamond" w:hAnsi="Garamond" w:cs="Garamond"/>
        </w:rPr>
        <w:fldChar w:fldCharType="end"/>
      </w:r>
    </w:p>
    <w:p w14:paraId="6E635E31" w14:textId="752171F0" w:rsidR="00B85D92" w:rsidRPr="00FD21EC" w:rsidRDefault="00B85D92">
      <w:pPr>
        <w:rPr>
          <w:rFonts w:ascii="Garamond" w:hAnsi="Garamond"/>
          <w:b/>
        </w:rPr>
      </w:pPr>
      <w:r w:rsidRPr="00FD21EC">
        <w:rPr>
          <w:rFonts w:ascii="Garamond" w:hAnsi="Garamond"/>
          <w:b/>
        </w:rPr>
        <w:t>Email</w:t>
      </w:r>
    </w:p>
    <w:bookmarkStart w:id="1" w:name="OLE_LINK5"/>
    <w:bookmarkStart w:id="2" w:name="OLE_LINK6"/>
    <w:p w14:paraId="69D802E3" w14:textId="77777777" w:rsidR="00B85D92" w:rsidRPr="00FD21EC" w:rsidRDefault="00B85D92">
      <w:pPr>
        <w:rPr>
          <w:rFonts w:ascii="Garamond" w:hAnsi="Garamond" w:cs="Garamond"/>
        </w:rPr>
      </w:pPr>
      <w:r w:rsidRPr="00FD21EC">
        <w:rPr>
          <w:rFonts w:ascii="Garamond" w:hAnsi="Garamond" w:cs="Garamond"/>
        </w:rPr>
        <w:fldChar w:fldCharType="begin">
          <w:ffData>
            <w:name w:val="Text1"/>
            <w:enabled/>
            <w:calcOnExit w:val="0"/>
            <w:textInput/>
          </w:ffData>
        </w:fldChar>
      </w:r>
      <w:r w:rsidRPr="00FD21EC">
        <w:rPr>
          <w:rFonts w:ascii="Garamond" w:hAnsi="Garamond" w:cs="Garamond"/>
        </w:rPr>
        <w:instrText xml:space="preserve"> FORMTEXT </w:instrText>
      </w:r>
      <w:r w:rsidRPr="00FD21EC">
        <w:rPr>
          <w:rFonts w:ascii="Garamond" w:hAnsi="Garamond" w:cs="Garamond"/>
        </w:rPr>
      </w:r>
      <w:r w:rsidRPr="00FD21EC">
        <w:rPr>
          <w:rFonts w:ascii="Garamond" w:hAnsi="Garamond" w:cs="Garamond"/>
        </w:rPr>
        <w:fldChar w:fldCharType="separate"/>
      </w:r>
      <w:r w:rsidRPr="00FD21EC">
        <w:rPr>
          <w:rFonts w:ascii="Garamond" w:hAnsi="Garamond" w:cs="Garamond"/>
          <w:noProof/>
        </w:rPr>
        <w:t> </w:t>
      </w:r>
      <w:r w:rsidRPr="00FD21EC">
        <w:rPr>
          <w:rFonts w:ascii="Garamond" w:hAnsi="Garamond" w:cs="Garamond"/>
          <w:noProof/>
        </w:rPr>
        <w:t> </w:t>
      </w:r>
      <w:r w:rsidRPr="00FD21EC">
        <w:rPr>
          <w:rFonts w:ascii="Garamond" w:hAnsi="Garamond" w:cs="Garamond"/>
          <w:noProof/>
        </w:rPr>
        <w:t> </w:t>
      </w:r>
      <w:r w:rsidRPr="00FD21EC">
        <w:rPr>
          <w:rFonts w:ascii="Garamond" w:hAnsi="Garamond" w:cs="Garamond"/>
          <w:noProof/>
        </w:rPr>
        <w:t> </w:t>
      </w:r>
      <w:r w:rsidRPr="00FD21EC">
        <w:rPr>
          <w:rFonts w:ascii="Garamond" w:hAnsi="Garamond" w:cs="Garamond"/>
          <w:noProof/>
        </w:rPr>
        <w:t> </w:t>
      </w:r>
      <w:r w:rsidRPr="00FD21EC">
        <w:rPr>
          <w:rFonts w:ascii="Garamond" w:hAnsi="Garamond" w:cs="Garamond"/>
        </w:rPr>
        <w:fldChar w:fldCharType="end"/>
      </w:r>
      <w:bookmarkEnd w:id="1"/>
      <w:bookmarkEnd w:id="2"/>
    </w:p>
    <w:p w14:paraId="039C6933" w14:textId="77777777" w:rsidR="00B85D92" w:rsidRPr="00FD21EC" w:rsidRDefault="00B85D92">
      <w:pPr>
        <w:rPr>
          <w:rFonts w:ascii="Garamond" w:hAnsi="Garamond" w:cs="Garamond"/>
        </w:rPr>
      </w:pPr>
    </w:p>
    <w:p w14:paraId="7FAB370D" w14:textId="77777777" w:rsidR="00B85D92" w:rsidRPr="00FD21EC" w:rsidRDefault="00B85D92">
      <w:pPr>
        <w:rPr>
          <w:rFonts w:ascii="Garamond" w:hAnsi="Garamond" w:cs="Garamond"/>
        </w:rPr>
      </w:pPr>
    </w:p>
    <w:p w14:paraId="229D8EFF" w14:textId="77777777" w:rsidR="00CD7CD8" w:rsidRPr="00FD21EC" w:rsidRDefault="00CD7CD8">
      <w:pPr>
        <w:rPr>
          <w:rFonts w:ascii="Garamond" w:hAnsi="Garamond" w:cs="Garamond"/>
          <w:b/>
        </w:rPr>
      </w:pPr>
      <w:r w:rsidRPr="00FD21EC">
        <w:rPr>
          <w:rFonts w:ascii="Garamond" w:hAnsi="Garamond" w:cs="Garamond"/>
          <w:b/>
        </w:rPr>
        <w:t xml:space="preserve">Please note: </w:t>
      </w:r>
    </w:p>
    <w:p w14:paraId="666BDBF1" w14:textId="01868B14" w:rsidR="00B85D92" w:rsidRPr="00FD21EC" w:rsidRDefault="00CD7CD8" w:rsidP="000F33EA">
      <w:pPr>
        <w:jc w:val="both"/>
        <w:rPr>
          <w:rFonts w:ascii="Garamond" w:hAnsi="Garamond" w:cs="Garamond"/>
        </w:rPr>
      </w:pPr>
      <w:r w:rsidRPr="00FD21EC">
        <w:rPr>
          <w:rFonts w:ascii="Garamond" w:hAnsi="Garamond" w:cs="Garamond"/>
        </w:rPr>
        <w:t xml:space="preserve">The questionnaire is accompanied by short summaries of the specific subject. The study is comprised of three core areas: </w:t>
      </w:r>
    </w:p>
    <w:p w14:paraId="7B36EE09" w14:textId="05C3B358" w:rsidR="00CD7CD8" w:rsidRPr="00FD21EC" w:rsidRDefault="00CD7CD8" w:rsidP="00CD7CD8">
      <w:pPr>
        <w:pStyle w:val="Listenabsatz"/>
        <w:numPr>
          <w:ilvl w:val="0"/>
          <w:numId w:val="41"/>
        </w:numPr>
        <w:rPr>
          <w:rFonts w:cs="Garamond"/>
          <w:lang w:val="en-US"/>
        </w:rPr>
      </w:pPr>
      <w:r w:rsidRPr="00FD21EC">
        <w:rPr>
          <w:rFonts w:cs="Garamond"/>
          <w:lang w:val="en-US"/>
        </w:rPr>
        <w:t>The Extension of the Scope of the EIR</w:t>
      </w:r>
    </w:p>
    <w:p w14:paraId="14ECF800" w14:textId="1481D86F" w:rsidR="00CD7CD8" w:rsidRPr="00FD21EC" w:rsidRDefault="00CD7CD8" w:rsidP="00CD7CD8">
      <w:pPr>
        <w:pStyle w:val="Listenabsatz"/>
        <w:numPr>
          <w:ilvl w:val="0"/>
          <w:numId w:val="41"/>
        </w:numPr>
        <w:rPr>
          <w:rFonts w:cs="Garamond"/>
          <w:lang w:val="en-US"/>
        </w:rPr>
      </w:pPr>
      <w:r w:rsidRPr="00FD21EC">
        <w:rPr>
          <w:rFonts w:cs="Garamond"/>
          <w:lang w:val="en-US"/>
        </w:rPr>
        <w:t>The Interplay between Main and Secondary Proceedings</w:t>
      </w:r>
    </w:p>
    <w:p w14:paraId="2223A7B3" w14:textId="39DDD83B" w:rsidR="00CD7CD8" w:rsidRPr="00FD21EC" w:rsidRDefault="00CD7CD8" w:rsidP="00CD7CD8">
      <w:pPr>
        <w:pStyle w:val="Listenabsatz"/>
        <w:numPr>
          <w:ilvl w:val="0"/>
          <w:numId w:val="41"/>
        </w:numPr>
        <w:rPr>
          <w:rFonts w:cs="Garamond"/>
          <w:lang w:val="en-US"/>
        </w:rPr>
      </w:pPr>
      <w:r w:rsidRPr="00FD21EC">
        <w:rPr>
          <w:rFonts w:cs="Garamond"/>
          <w:lang w:val="en-US"/>
        </w:rPr>
        <w:t>Groups of Companies</w:t>
      </w:r>
    </w:p>
    <w:p w14:paraId="776F8EA2" w14:textId="77777777" w:rsidR="00CD7CD8" w:rsidRPr="00FD21EC" w:rsidRDefault="00CD7CD8" w:rsidP="00CD7CD8">
      <w:pPr>
        <w:rPr>
          <w:rFonts w:ascii="Garamond" w:hAnsi="Garamond" w:cs="Garamond"/>
        </w:rPr>
      </w:pPr>
    </w:p>
    <w:p w14:paraId="32ECF988" w14:textId="3456FF2B" w:rsidR="00CD7CD8" w:rsidRPr="00FD21EC" w:rsidRDefault="00CD7CD8" w:rsidP="000F33EA">
      <w:pPr>
        <w:jc w:val="both"/>
        <w:rPr>
          <w:rFonts w:ascii="Garamond" w:hAnsi="Garamond" w:cs="Garamond"/>
        </w:rPr>
      </w:pPr>
      <w:r w:rsidRPr="00FD21EC">
        <w:rPr>
          <w:rFonts w:ascii="Garamond" w:hAnsi="Garamond" w:cs="Garamond"/>
        </w:rPr>
        <w:t>Should you consider answering the questions within any of these areas, please feel free to submit the questionnaire to:</w:t>
      </w:r>
    </w:p>
    <w:p w14:paraId="0887F728" w14:textId="760A83E6" w:rsidR="00CD7CD8" w:rsidRPr="00FD21EC" w:rsidRDefault="00CD7CD8" w:rsidP="00CD7CD8">
      <w:pPr>
        <w:rPr>
          <w:rFonts w:ascii="Garamond" w:hAnsi="Garamond" w:cs="Garamond"/>
        </w:rPr>
      </w:pPr>
      <w:hyperlink r:id="rId13" w:history="1">
        <w:r w:rsidRPr="00FD21EC">
          <w:rPr>
            <w:rStyle w:val="Hyperlink"/>
            <w:rFonts w:ascii="Garamond" w:hAnsi="Garamond" w:cs="Garamond"/>
          </w:rPr>
          <w:t>Robert.Arts@mpi.lu</w:t>
        </w:r>
      </w:hyperlink>
    </w:p>
    <w:p w14:paraId="6EDCB164" w14:textId="77777777" w:rsidR="00CD7CD8" w:rsidRPr="00FD21EC" w:rsidRDefault="00CD7CD8" w:rsidP="00CD7CD8">
      <w:pPr>
        <w:rPr>
          <w:rFonts w:ascii="Garamond" w:hAnsi="Garamond" w:cs="Garamond"/>
        </w:rPr>
      </w:pPr>
    </w:p>
    <w:p w14:paraId="353C4275" w14:textId="77777777" w:rsidR="00B85D92" w:rsidRDefault="00B85D92">
      <w:pPr>
        <w:rPr>
          <w:rFonts w:ascii="Garamond" w:hAnsi="Garamond" w:cs="Garamond"/>
        </w:rPr>
      </w:pPr>
    </w:p>
    <w:p w14:paraId="5E293B31" w14:textId="77777777" w:rsidR="00532BB7" w:rsidRPr="00FD21EC" w:rsidRDefault="00532BB7" w:rsidP="00532BB7">
      <w:pPr>
        <w:rPr>
          <w:rFonts w:ascii="Garamond" w:hAnsi="Garamond" w:cs="Garamond"/>
        </w:rPr>
      </w:pPr>
      <w:r w:rsidRPr="00FD21EC">
        <w:rPr>
          <w:rFonts w:ascii="Garamond" w:hAnsi="Garamond" w:cs="Garamond"/>
        </w:rPr>
        <w:t>Should you have any general remarks, please feel free to submit them here:</w:t>
      </w:r>
    </w:p>
    <w:p w14:paraId="6ED0B791" w14:textId="77777777" w:rsidR="00532BB7" w:rsidRPr="00FD21EC" w:rsidRDefault="00532BB7" w:rsidP="00532BB7">
      <w:pPr>
        <w:rPr>
          <w:rFonts w:ascii="Garamond" w:hAnsi="Garamond" w:cs="Garamond"/>
        </w:rPr>
      </w:pPr>
      <w:r w:rsidRPr="00FD21EC">
        <w:rPr>
          <w:rFonts w:ascii="Garamond" w:hAnsi="Garamond" w:cs="Garamond"/>
        </w:rPr>
        <w:fldChar w:fldCharType="begin">
          <w:ffData>
            <w:name w:val="Text1"/>
            <w:enabled/>
            <w:calcOnExit w:val="0"/>
            <w:textInput/>
          </w:ffData>
        </w:fldChar>
      </w:r>
      <w:r w:rsidRPr="00FD21EC">
        <w:rPr>
          <w:rFonts w:ascii="Garamond" w:hAnsi="Garamond" w:cs="Garamond"/>
        </w:rPr>
        <w:instrText xml:space="preserve"> FORMTEXT </w:instrText>
      </w:r>
      <w:r w:rsidRPr="00FD21EC">
        <w:rPr>
          <w:rFonts w:ascii="Garamond" w:hAnsi="Garamond" w:cs="Garamond"/>
        </w:rPr>
      </w:r>
      <w:r w:rsidRPr="00FD21EC">
        <w:rPr>
          <w:rFonts w:ascii="Garamond" w:hAnsi="Garamond" w:cs="Garamond"/>
        </w:rPr>
        <w:fldChar w:fldCharType="separate"/>
      </w:r>
      <w:r w:rsidRPr="00FD21EC">
        <w:rPr>
          <w:rFonts w:ascii="Garamond" w:hAnsi="Garamond" w:cs="Garamond"/>
          <w:noProof/>
        </w:rPr>
        <w:t> </w:t>
      </w:r>
      <w:r w:rsidRPr="00FD21EC">
        <w:rPr>
          <w:rFonts w:ascii="Garamond" w:hAnsi="Garamond" w:cs="Garamond"/>
          <w:noProof/>
        </w:rPr>
        <w:t> </w:t>
      </w:r>
      <w:r w:rsidRPr="00FD21EC">
        <w:rPr>
          <w:rFonts w:ascii="Garamond" w:hAnsi="Garamond" w:cs="Garamond"/>
          <w:noProof/>
        </w:rPr>
        <w:t> </w:t>
      </w:r>
      <w:r w:rsidRPr="00FD21EC">
        <w:rPr>
          <w:rFonts w:ascii="Garamond" w:hAnsi="Garamond" w:cs="Garamond"/>
          <w:noProof/>
        </w:rPr>
        <w:t> </w:t>
      </w:r>
      <w:r w:rsidRPr="00FD21EC">
        <w:rPr>
          <w:rFonts w:ascii="Garamond" w:hAnsi="Garamond" w:cs="Garamond"/>
          <w:noProof/>
        </w:rPr>
        <w:t> </w:t>
      </w:r>
      <w:r w:rsidRPr="00FD21EC">
        <w:rPr>
          <w:rFonts w:ascii="Garamond" w:hAnsi="Garamond" w:cs="Garamond"/>
        </w:rPr>
        <w:fldChar w:fldCharType="end"/>
      </w:r>
    </w:p>
    <w:p w14:paraId="581F1DAD" w14:textId="77777777" w:rsidR="00532BB7" w:rsidRPr="00FD21EC" w:rsidRDefault="00532BB7" w:rsidP="00532BB7">
      <w:pPr>
        <w:rPr>
          <w:rFonts w:ascii="Garamond" w:hAnsi="Garamond" w:cs="Garamond"/>
        </w:rPr>
      </w:pPr>
    </w:p>
    <w:p w14:paraId="794B7089" w14:textId="77777777" w:rsidR="00532BB7" w:rsidRPr="00FD21EC" w:rsidRDefault="00532BB7">
      <w:pPr>
        <w:rPr>
          <w:rFonts w:ascii="Garamond" w:hAnsi="Garamond" w:cs="Garamond"/>
        </w:rPr>
      </w:pPr>
    </w:p>
    <w:p w14:paraId="60EB85C8" w14:textId="1EF3A20C" w:rsidR="00FF4099" w:rsidRDefault="00FF4099">
      <w:pPr>
        <w:rPr>
          <w:rFonts w:ascii="Garamond" w:eastAsiaTheme="majorEastAsia" w:hAnsi="Garamond" w:cstheme="majorBidi"/>
          <w:bCs/>
          <w:smallCaps/>
          <w:sz w:val="36"/>
        </w:rPr>
      </w:pPr>
      <w:r w:rsidRPr="00FF4099">
        <w:rPr>
          <w:rFonts w:ascii="Garamond" w:eastAsiaTheme="majorEastAsia" w:hAnsi="Garamond" w:cstheme="majorBidi"/>
          <w:bCs/>
          <w:smallCaps/>
          <w:sz w:val="36"/>
        </w:rPr>
        <w:br w:type="page"/>
      </w:r>
    </w:p>
    <w:p w14:paraId="04306083" w14:textId="7D271F5F" w:rsidR="00E1617A" w:rsidRPr="002361EA" w:rsidRDefault="0030680A" w:rsidP="00CD7CD8">
      <w:pPr>
        <w:pStyle w:val="berschrift1"/>
        <w:rPr>
          <w:b/>
        </w:rPr>
      </w:pPr>
      <w:r w:rsidRPr="002361EA">
        <w:lastRenderedPageBreak/>
        <w:t>§ 1</w:t>
      </w:r>
      <w:r w:rsidR="00E1617A" w:rsidRPr="002361EA">
        <w:t xml:space="preserve"> </w:t>
      </w:r>
      <w:r w:rsidRPr="002361EA">
        <w:t xml:space="preserve">- </w:t>
      </w:r>
      <w:r w:rsidR="00E1617A" w:rsidRPr="002361EA">
        <w:t>The Extension of the Scope of the EIR</w:t>
      </w:r>
    </w:p>
    <w:p w14:paraId="4EF34241" w14:textId="77777777" w:rsidR="00063738" w:rsidRPr="00CD7CD8" w:rsidRDefault="00063738" w:rsidP="00CD7CD8"/>
    <w:p w14:paraId="65418816" w14:textId="77777777" w:rsidR="00E54F31" w:rsidRPr="00217FF5" w:rsidRDefault="0030680A" w:rsidP="00CD7CD8">
      <w:pPr>
        <w:pStyle w:val="berschrift2"/>
      </w:pPr>
      <w:r w:rsidRPr="00217FF5">
        <w:t>A</w:t>
      </w:r>
      <w:r w:rsidR="00954B1C">
        <w:t xml:space="preserve">. </w:t>
      </w:r>
      <w:r w:rsidR="00E54F31" w:rsidRPr="00217FF5">
        <w:t>T</w:t>
      </w:r>
      <w:r w:rsidR="006D12B2" w:rsidRPr="00217FF5">
        <w:t xml:space="preserve">he </w:t>
      </w:r>
      <w:r w:rsidR="006D12B2" w:rsidRPr="00CD7CD8">
        <w:t>scope</w:t>
      </w:r>
      <w:r w:rsidR="006D12B2" w:rsidRPr="00217FF5">
        <w:t xml:space="preserve"> of the EIR</w:t>
      </w:r>
      <w:r w:rsidR="00B563B3" w:rsidRPr="00217FF5">
        <w:t>-R</w:t>
      </w:r>
      <w:r w:rsidR="00E54F31" w:rsidRPr="00217FF5">
        <w:t>.</w:t>
      </w:r>
    </w:p>
    <w:p w14:paraId="1E0E90FB" w14:textId="77777777" w:rsidR="00A857E7" w:rsidRPr="0030680A" w:rsidRDefault="0030680A" w:rsidP="00CD7CD8">
      <w:pPr>
        <w:pStyle w:val="berschrift3"/>
      </w:pPr>
      <w:r w:rsidRPr="0030680A">
        <w:t>I</w:t>
      </w:r>
      <w:r w:rsidR="00954B1C">
        <w:t xml:space="preserve">. </w:t>
      </w:r>
      <w:r w:rsidR="00A857E7" w:rsidRPr="0030680A">
        <w:t>Reform</w:t>
      </w:r>
    </w:p>
    <w:p w14:paraId="2FDCB09F" w14:textId="77777777" w:rsidR="006D6E8F" w:rsidRPr="00016E69" w:rsidRDefault="006D6E8F" w:rsidP="007837FC">
      <w:pPr>
        <w:spacing w:before="120" w:after="120"/>
        <w:jc w:val="both"/>
        <w:rPr>
          <w:rFonts w:ascii="Garamond" w:hAnsi="Garamond"/>
          <w:sz w:val="24"/>
          <w:szCs w:val="24"/>
        </w:rPr>
      </w:pPr>
      <w:r w:rsidRPr="00016E69">
        <w:rPr>
          <w:rFonts w:ascii="Garamond" w:hAnsi="Garamond"/>
          <w:sz w:val="24"/>
          <w:szCs w:val="24"/>
          <w:lang w:val="en-GB"/>
        </w:rPr>
        <w:t>The EU’s new approach to business failure and insolvency</w:t>
      </w:r>
      <w:r w:rsidR="00B946AE" w:rsidRPr="00016E69">
        <w:rPr>
          <w:rStyle w:val="Funotenzeichen"/>
          <w:rFonts w:ascii="Garamond" w:hAnsi="Garamond"/>
          <w:sz w:val="24"/>
          <w:szCs w:val="24"/>
          <w:lang w:val="en-GB"/>
        </w:rPr>
        <w:footnoteReference w:id="1"/>
      </w:r>
      <w:r w:rsidRPr="00016E69">
        <w:rPr>
          <w:rFonts w:ascii="Garamond" w:hAnsi="Garamond"/>
          <w:sz w:val="24"/>
          <w:szCs w:val="24"/>
          <w:lang w:val="en-GB"/>
        </w:rPr>
        <w:t xml:space="preserve"> </w:t>
      </w:r>
      <w:r w:rsidRPr="00016E69">
        <w:rPr>
          <w:rFonts w:ascii="Garamond" w:hAnsi="Garamond"/>
          <w:sz w:val="24"/>
          <w:szCs w:val="24"/>
        </w:rPr>
        <w:t xml:space="preserve">has resulted in the extension of the scope of the EIR-R. </w:t>
      </w:r>
      <w:r w:rsidRPr="00AA6D5E">
        <w:rPr>
          <w:rFonts w:ascii="Garamond" w:hAnsi="Garamond"/>
          <w:sz w:val="24"/>
          <w:szCs w:val="24"/>
        </w:rPr>
        <w:t>According to Art</w:t>
      </w:r>
      <w:r w:rsidRPr="00B07777">
        <w:rPr>
          <w:rFonts w:ascii="Garamond" w:hAnsi="Garamond"/>
          <w:sz w:val="24"/>
          <w:szCs w:val="24"/>
          <w:lang w:val="en-GB"/>
        </w:rPr>
        <w:t>icle</w:t>
      </w:r>
      <w:r w:rsidRPr="00F13D4B">
        <w:rPr>
          <w:rFonts w:ascii="Garamond" w:hAnsi="Garamond"/>
          <w:sz w:val="24"/>
          <w:szCs w:val="24"/>
        </w:rPr>
        <w:t xml:space="preserve"> 1(1) </w:t>
      </w:r>
      <w:r w:rsidR="00A52B15" w:rsidRPr="00F13D4B">
        <w:rPr>
          <w:rFonts w:ascii="Garamond" w:hAnsi="Garamond"/>
          <w:sz w:val="24"/>
          <w:szCs w:val="24"/>
        </w:rPr>
        <w:t xml:space="preserve">of the European Insolvency Regulation Recast (herein after </w:t>
      </w:r>
      <w:r w:rsidRPr="00F13D4B">
        <w:rPr>
          <w:rFonts w:ascii="Garamond" w:hAnsi="Garamond"/>
          <w:sz w:val="24"/>
          <w:szCs w:val="24"/>
        </w:rPr>
        <w:t>EIR-R</w:t>
      </w:r>
      <w:r w:rsidR="00A52B15" w:rsidRPr="00016E69">
        <w:rPr>
          <w:rFonts w:ascii="Garamond" w:hAnsi="Garamond"/>
          <w:sz w:val="24"/>
          <w:szCs w:val="24"/>
        </w:rPr>
        <w:t>)</w:t>
      </w:r>
      <w:r w:rsidRPr="00016E69">
        <w:rPr>
          <w:rFonts w:ascii="Garamond" w:hAnsi="Garamond"/>
          <w:sz w:val="24"/>
          <w:szCs w:val="24"/>
        </w:rPr>
        <w:t xml:space="preserve">, the Regulation is applicable to </w:t>
      </w:r>
      <w:r w:rsidR="002E74E4" w:rsidRPr="00016E69">
        <w:rPr>
          <w:rFonts w:ascii="Garamond" w:hAnsi="Garamond"/>
          <w:sz w:val="24"/>
          <w:szCs w:val="24"/>
          <w:lang w:val="en-GB"/>
        </w:rPr>
        <w:t>“</w:t>
      </w:r>
      <w:r w:rsidRPr="00016E69">
        <w:rPr>
          <w:rFonts w:ascii="Garamond" w:hAnsi="Garamond"/>
          <w:sz w:val="24"/>
          <w:szCs w:val="24"/>
        </w:rPr>
        <w:t>public collective proceedings</w:t>
      </w:r>
      <w:r w:rsidR="002E74E4" w:rsidRPr="00016E69">
        <w:rPr>
          <w:rFonts w:ascii="Garamond" w:hAnsi="Garamond"/>
          <w:sz w:val="24"/>
          <w:szCs w:val="24"/>
        </w:rPr>
        <w:t>”</w:t>
      </w:r>
      <w:r w:rsidRPr="00016E69">
        <w:rPr>
          <w:rFonts w:ascii="Garamond" w:hAnsi="Garamond"/>
          <w:sz w:val="24"/>
          <w:szCs w:val="24"/>
        </w:rPr>
        <w:t xml:space="preserve"> or </w:t>
      </w:r>
      <w:r w:rsidR="002E74E4" w:rsidRPr="00016E69">
        <w:rPr>
          <w:rFonts w:ascii="Garamond" w:hAnsi="Garamond"/>
          <w:sz w:val="24"/>
          <w:szCs w:val="24"/>
        </w:rPr>
        <w:t>“</w:t>
      </w:r>
      <w:r w:rsidRPr="00016E69">
        <w:rPr>
          <w:rFonts w:ascii="Garamond" w:hAnsi="Garamond"/>
          <w:sz w:val="24"/>
          <w:szCs w:val="24"/>
        </w:rPr>
        <w:t>interim proceedings</w:t>
      </w:r>
      <w:r w:rsidR="002E74E4" w:rsidRPr="00016E69">
        <w:rPr>
          <w:rFonts w:ascii="Garamond" w:hAnsi="Garamond"/>
          <w:sz w:val="24"/>
          <w:szCs w:val="24"/>
        </w:rPr>
        <w:t>”</w:t>
      </w:r>
      <w:r w:rsidRPr="00016E69">
        <w:rPr>
          <w:rFonts w:ascii="Garamond" w:hAnsi="Garamond"/>
          <w:sz w:val="24"/>
          <w:szCs w:val="24"/>
        </w:rPr>
        <w:t xml:space="preserve"> that </w:t>
      </w:r>
      <w:r w:rsidR="002E74E4" w:rsidRPr="00016E69">
        <w:rPr>
          <w:rFonts w:ascii="Garamond" w:hAnsi="Garamond"/>
          <w:sz w:val="24"/>
          <w:szCs w:val="24"/>
        </w:rPr>
        <w:t>“</w:t>
      </w:r>
      <w:r w:rsidRPr="00016E69">
        <w:rPr>
          <w:rFonts w:ascii="Garamond" w:hAnsi="Garamond"/>
          <w:sz w:val="24"/>
          <w:szCs w:val="24"/>
        </w:rPr>
        <w:t>are based on laws relating to insolvency […] for the purpose of rescue, adjustment of debt, reorganisation or liquidation</w:t>
      </w:r>
      <w:r w:rsidR="002E74E4" w:rsidRPr="00016E69">
        <w:rPr>
          <w:rFonts w:ascii="Garamond" w:hAnsi="Garamond"/>
          <w:sz w:val="24"/>
          <w:szCs w:val="24"/>
        </w:rPr>
        <w:t>”</w:t>
      </w:r>
      <w:r w:rsidRPr="00016E69">
        <w:rPr>
          <w:rFonts w:ascii="Garamond" w:hAnsi="Garamond"/>
          <w:sz w:val="24"/>
          <w:szCs w:val="24"/>
        </w:rPr>
        <w:t xml:space="preserve">, which include: </w:t>
      </w:r>
    </w:p>
    <w:p w14:paraId="40708985" w14:textId="77777777" w:rsidR="006D6E8F" w:rsidRPr="00016E69" w:rsidRDefault="006D6E8F" w:rsidP="007837FC">
      <w:pPr>
        <w:pStyle w:val="Listenabsatz"/>
        <w:numPr>
          <w:ilvl w:val="0"/>
          <w:numId w:val="3"/>
        </w:numPr>
        <w:spacing w:before="120" w:after="120" w:line="276" w:lineRule="auto"/>
        <w:contextualSpacing w:val="0"/>
        <w:rPr>
          <w:sz w:val="24"/>
          <w:szCs w:val="24"/>
          <w:lang w:val="en-GB"/>
        </w:rPr>
      </w:pPr>
      <w:proofErr w:type="gramStart"/>
      <w:r w:rsidRPr="00016E69">
        <w:rPr>
          <w:sz w:val="24"/>
          <w:szCs w:val="24"/>
          <w:lang w:val="en-US"/>
        </w:rPr>
        <w:t>the</w:t>
      </w:r>
      <w:proofErr w:type="gramEnd"/>
      <w:r w:rsidRPr="00016E69">
        <w:rPr>
          <w:sz w:val="24"/>
          <w:szCs w:val="24"/>
          <w:lang w:val="en-US"/>
        </w:rPr>
        <w:t xml:space="preserve"> debtor’</w:t>
      </w:r>
      <w:r w:rsidRPr="00016E69">
        <w:rPr>
          <w:sz w:val="24"/>
          <w:szCs w:val="24"/>
          <w:lang w:val="en-GB"/>
        </w:rPr>
        <w:t>s total</w:t>
      </w:r>
      <w:r w:rsidRPr="00016E69">
        <w:rPr>
          <w:sz w:val="24"/>
          <w:szCs w:val="24"/>
          <w:lang w:val="en-US"/>
        </w:rPr>
        <w:t xml:space="preserve"> or partial divestment of its assets, the appointment of an insolvency practitioner and the superv</w:t>
      </w:r>
      <w:r w:rsidR="00063738" w:rsidRPr="00016E69">
        <w:rPr>
          <w:sz w:val="24"/>
          <w:szCs w:val="24"/>
          <w:lang w:val="en-US"/>
        </w:rPr>
        <w:t>i</w:t>
      </w:r>
      <w:r w:rsidRPr="00016E69">
        <w:rPr>
          <w:sz w:val="24"/>
          <w:szCs w:val="24"/>
          <w:lang w:val="en-US"/>
        </w:rPr>
        <w:t>sion of the debtor’</w:t>
      </w:r>
      <w:r w:rsidRPr="00016E69">
        <w:rPr>
          <w:sz w:val="24"/>
          <w:szCs w:val="24"/>
          <w:lang w:val="en-GB"/>
        </w:rPr>
        <w:t>s affairs and assets by a court;.</w:t>
      </w:r>
    </w:p>
    <w:p w14:paraId="38589147" w14:textId="77777777" w:rsidR="006D6E8F" w:rsidRPr="00016E69" w:rsidRDefault="006D6E8F" w:rsidP="007837FC">
      <w:pPr>
        <w:pStyle w:val="Listenabsatz"/>
        <w:numPr>
          <w:ilvl w:val="0"/>
          <w:numId w:val="3"/>
        </w:numPr>
        <w:spacing w:before="120" w:after="120" w:line="276" w:lineRule="auto"/>
        <w:contextualSpacing w:val="0"/>
        <w:rPr>
          <w:sz w:val="24"/>
          <w:szCs w:val="24"/>
          <w:lang w:val="en-GB"/>
        </w:rPr>
      </w:pPr>
      <w:proofErr w:type="gramStart"/>
      <w:r w:rsidRPr="00016E69">
        <w:rPr>
          <w:sz w:val="24"/>
          <w:szCs w:val="24"/>
          <w:lang w:val="en-US"/>
        </w:rPr>
        <w:t>or</w:t>
      </w:r>
      <w:proofErr w:type="gramEnd"/>
      <w:r w:rsidRPr="00016E69">
        <w:rPr>
          <w:sz w:val="24"/>
          <w:szCs w:val="24"/>
          <w:lang w:val="en-US"/>
        </w:rPr>
        <w:t xml:space="preserve"> a temporary stay of individual enforcement proceedings in order to allow for negotiations between the debtor and its creditors, provided that these proceedings are not detrimental to the general body of creditors.</w:t>
      </w:r>
    </w:p>
    <w:p w14:paraId="38CA2217" w14:textId="77777777" w:rsidR="006D12B2" w:rsidRPr="00016E69" w:rsidRDefault="00631366" w:rsidP="007837FC">
      <w:pPr>
        <w:spacing w:before="120" w:after="120"/>
        <w:jc w:val="both"/>
        <w:rPr>
          <w:rFonts w:ascii="Garamond" w:hAnsi="Garamond"/>
          <w:sz w:val="24"/>
          <w:szCs w:val="24"/>
          <w:lang w:val="en-GB"/>
        </w:rPr>
      </w:pPr>
      <w:r w:rsidRPr="00016E69">
        <w:rPr>
          <w:rFonts w:ascii="Garamond" w:hAnsi="Garamond"/>
          <w:sz w:val="24"/>
          <w:szCs w:val="24"/>
          <w:lang w:val="en-GB"/>
        </w:rPr>
        <w:t>Accordingly,</w:t>
      </w:r>
      <w:r w:rsidR="006D12B2" w:rsidRPr="00016E69">
        <w:rPr>
          <w:rFonts w:ascii="Garamond" w:hAnsi="Garamond"/>
          <w:sz w:val="24"/>
          <w:szCs w:val="24"/>
          <w:lang w:val="en-GB"/>
        </w:rPr>
        <w:t xml:space="preserve"> the EIR-R will </w:t>
      </w:r>
      <w:r w:rsidR="00B946AE" w:rsidRPr="00016E69">
        <w:rPr>
          <w:rFonts w:ascii="Garamond" w:hAnsi="Garamond"/>
          <w:sz w:val="24"/>
          <w:szCs w:val="24"/>
          <w:lang w:val="en-GB"/>
        </w:rPr>
        <w:t xml:space="preserve">not only </w:t>
      </w:r>
      <w:r w:rsidR="006D12B2" w:rsidRPr="00016E69">
        <w:rPr>
          <w:rFonts w:ascii="Garamond" w:hAnsi="Garamond"/>
          <w:sz w:val="24"/>
          <w:szCs w:val="24"/>
          <w:lang w:val="en-GB"/>
        </w:rPr>
        <w:t xml:space="preserve">apply </w:t>
      </w:r>
      <w:r w:rsidR="00B946AE" w:rsidRPr="00016E69">
        <w:rPr>
          <w:rFonts w:ascii="Garamond" w:hAnsi="Garamond"/>
          <w:sz w:val="24"/>
          <w:szCs w:val="24"/>
          <w:lang w:val="en-GB"/>
        </w:rPr>
        <w:t xml:space="preserve">to “classical” insolvency proceedings, but </w:t>
      </w:r>
      <w:r w:rsidR="006D12B2" w:rsidRPr="00016E69">
        <w:rPr>
          <w:rFonts w:ascii="Garamond" w:hAnsi="Garamond"/>
          <w:sz w:val="24"/>
          <w:szCs w:val="24"/>
          <w:lang w:val="en-GB"/>
        </w:rPr>
        <w:t>also to</w:t>
      </w:r>
      <w:r w:rsidR="002B78C3" w:rsidRPr="00016E69">
        <w:rPr>
          <w:rFonts w:ascii="Garamond" w:hAnsi="Garamond"/>
          <w:sz w:val="24"/>
          <w:szCs w:val="24"/>
          <w:lang w:val="en-GB"/>
        </w:rPr>
        <w:t xml:space="preserve"> collective proceedings:</w:t>
      </w:r>
    </w:p>
    <w:p w14:paraId="3D8AA944" w14:textId="77777777" w:rsidR="00E87DCA" w:rsidRPr="00B07777" w:rsidRDefault="002B78C3" w:rsidP="00E87DCA">
      <w:pPr>
        <w:pStyle w:val="Listenabsatz"/>
        <w:numPr>
          <w:ilvl w:val="0"/>
          <w:numId w:val="33"/>
        </w:numPr>
        <w:spacing w:before="120" w:after="120" w:line="276" w:lineRule="auto"/>
        <w:contextualSpacing w:val="0"/>
        <w:rPr>
          <w:sz w:val="24"/>
          <w:szCs w:val="24"/>
          <w:lang w:val="en-GB"/>
        </w:rPr>
      </w:pPr>
      <w:r w:rsidRPr="00016E69">
        <w:rPr>
          <w:sz w:val="24"/>
          <w:szCs w:val="24"/>
          <w:lang w:val="en-GB"/>
        </w:rPr>
        <w:t xml:space="preserve">that </w:t>
      </w:r>
      <w:r w:rsidRPr="00016E69">
        <w:rPr>
          <w:sz w:val="24"/>
          <w:szCs w:val="24"/>
          <w:lang w:val="en-US"/>
        </w:rPr>
        <w:t>do not include all of the de</w:t>
      </w:r>
      <w:r w:rsidR="00C91C15" w:rsidRPr="00016E69">
        <w:rPr>
          <w:sz w:val="24"/>
          <w:szCs w:val="24"/>
          <w:lang w:val="en-US"/>
        </w:rPr>
        <w:t>btor</w:t>
      </w:r>
      <w:r w:rsidR="005E5BB1" w:rsidRPr="00016E69">
        <w:rPr>
          <w:sz w:val="24"/>
          <w:szCs w:val="24"/>
          <w:lang w:val="en-US"/>
        </w:rPr>
        <w:t>’</w:t>
      </w:r>
      <w:r w:rsidR="00C91C15" w:rsidRPr="00016E69">
        <w:rPr>
          <w:sz w:val="24"/>
          <w:szCs w:val="24"/>
          <w:lang w:val="en-US"/>
        </w:rPr>
        <w:t>s creditors, provided that</w:t>
      </w:r>
      <w:r w:rsidRPr="00016E69">
        <w:rPr>
          <w:sz w:val="24"/>
          <w:szCs w:val="24"/>
          <w:lang w:val="en-US"/>
        </w:rPr>
        <w:t xml:space="preserve"> these proceedings do not affect the claims of creditors which are not involved</w:t>
      </w:r>
      <w:r w:rsidRPr="00AA6D5E">
        <w:rPr>
          <w:sz w:val="24"/>
          <w:szCs w:val="24"/>
          <w:lang w:val="en-GB"/>
        </w:rPr>
        <w:t xml:space="preserve"> (Article 2(1) EIR-R)</w:t>
      </w:r>
    </w:p>
    <w:p w14:paraId="0B8C7889" w14:textId="77777777" w:rsidR="00E87DCA" w:rsidRPr="00016E69" w:rsidRDefault="002B78C3" w:rsidP="00E87DCA">
      <w:pPr>
        <w:pStyle w:val="Listenabsatz"/>
        <w:numPr>
          <w:ilvl w:val="0"/>
          <w:numId w:val="33"/>
        </w:numPr>
        <w:spacing w:before="120" w:after="120" w:line="276" w:lineRule="auto"/>
        <w:contextualSpacing w:val="0"/>
        <w:rPr>
          <w:sz w:val="24"/>
          <w:szCs w:val="24"/>
          <w:lang w:val="en-GB"/>
        </w:rPr>
      </w:pPr>
      <w:r w:rsidRPr="00F13D4B">
        <w:rPr>
          <w:sz w:val="24"/>
          <w:szCs w:val="24"/>
          <w:lang w:val="en-GB"/>
        </w:rPr>
        <w:t xml:space="preserve">which are </w:t>
      </w:r>
      <w:r w:rsidR="006D12B2" w:rsidRPr="00F13D4B">
        <w:rPr>
          <w:sz w:val="24"/>
          <w:szCs w:val="24"/>
          <w:lang w:val="en-GB"/>
        </w:rPr>
        <w:t xml:space="preserve">based </w:t>
      </w:r>
      <w:r w:rsidRPr="00F13D4B">
        <w:rPr>
          <w:sz w:val="24"/>
          <w:szCs w:val="24"/>
          <w:lang w:val="en-GB"/>
        </w:rPr>
        <w:t>on</w:t>
      </w:r>
      <w:r w:rsidR="00C91C15" w:rsidRPr="00016E69">
        <w:rPr>
          <w:sz w:val="24"/>
          <w:szCs w:val="24"/>
          <w:lang w:val="en-GB"/>
        </w:rPr>
        <w:t xml:space="preserve"> the</w:t>
      </w:r>
      <w:r w:rsidRPr="00016E69">
        <w:rPr>
          <w:sz w:val="24"/>
          <w:szCs w:val="24"/>
          <w:lang w:val="en-GB"/>
        </w:rPr>
        <w:t xml:space="preserve"> mere</w:t>
      </w:r>
      <w:r w:rsidR="006D12B2" w:rsidRPr="00016E69">
        <w:rPr>
          <w:sz w:val="24"/>
          <w:szCs w:val="24"/>
          <w:lang w:val="en-GB"/>
        </w:rPr>
        <w:t xml:space="preserve"> likelihood of insolvency of the debtor</w:t>
      </w:r>
    </w:p>
    <w:p w14:paraId="26F8E9A7" w14:textId="77777777" w:rsidR="00E87DCA" w:rsidRPr="00016E69" w:rsidRDefault="00C91C15" w:rsidP="00E87DCA">
      <w:pPr>
        <w:pStyle w:val="Listenabsatz"/>
        <w:numPr>
          <w:ilvl w:val="0"/>
          <w:numId w:val="33"/>
        </w:numPr>
        <w:spacing w:before="120" w:after="120" w:line="276" w:lineRule="auto"/>
        <w:contextualSpacing w:val="0"/>
        <w:rPr>
          <w:sz w:val="24"/>
          <w:szCs w:val="24"/>
          <w:lang w:val="en-GB"/>
        </w:rPr>
      </w:pPr>
      <w:r w:rsidRPr="00016E69">
        <w:rPr>
          <w:sz w:val="24"/>
          <w:szCs w:val="24"/>
          <w:lang w:val="en-GB"/>
        </w:rPr>
        <w:t>where the court only intervenes on appeal by a creditor or other interested parties (recital 10 EIR-R)</w:t>
      </w:r>
    </w:p>
    <w:p w14:paraId="362862E4" w14:textId="77777777" w:rsidR="00C91C15" w:rsidRPr="00016E69" w:rsidRDefault="006D12B2" w:rsidP="00E87DCA">
      <w:pPr>
        <w:pStyle w:val="Listenabsatz"/>
        <w:numPr>
          <w:ilvl w:val="0"/>
          <w:numId w:val="33"/>
        </w:numPr>
        <w:spacing w:before="120" w:after="120" w:line="276" w:lineRule="auto"/>
        <w:contextualSpacing w:val="0"/>
        <w:rPr>
          <w:sz w:val="24"/>
          <w:szCs w:val="24"/>
          <w:lang w:val="en-GB"/>
        </w:rPr>
      </w:pPr>
      <w:proofErr w:type="gramStart"/>
      <w:r w:rsidRPr="00016E69">
        <w:rPr>
          <w:sz w:val="24"/>
          <w:szCs w:val="24"/>
          <w:lang w:val="en-GB"/>
        </w:rPr>
        <w:t>that</w:t>
      </w:r>
      <w:proofErr w:type="gramEnd"/>
      <w:r w:rsidRPr="00016E69">
        <w:rPr>
          <w:sz w:val="24"/>
          <w:szCs w:val="24"/>
          <w:lang w:val="en-GB"/>
        </w:rPr>
        <w:t xml:space="preserve"> do not entail the partial or total divestment of a debtor </w:t>
      </w:r>
      <w:r w:rsidR="00C91C15" w:rsidRPr="00016E69">
        <w:rPr>
          <w:sz w:val="24"/>
          <w:szCs w:val="24"/>
          <w:lang w:val="en-GB"/>
        </w:rPr>
        <w:t>or the appointment of an insolvency practitioner and leave the debtor fully or partially in control of its assets and affairs, provided that they are placed – sooner or later – under the control of a court.</w:t>
      </w:r>
    </w:p>
    <w:p w14:paraId="466699A6" w14:textId="77777777" w:rsidR="0030680A" w:rsidRPr="00CD7CD8" w:rsidRDefault="0030680A" w:rsidP="00CD7CD8"/>
    <w:p w14:paraId="69214075" w14:textId="77777777" w:rsidR="00E54F31" w:rsidRPr="0030680A" w:rsidRDefault="0030680A" w:rsidP="00CD7CD8">
      <w:pPr>
        <w:pStyle w:val="berschrift3"/>
        <w:rPr>
          <w:b/>
        </w:rPr>
      </w:pPr>
      <w:r w:rsidRPr="0030680A">
        <w:t>II</w:t>
      </w:r>
      <w:r w:rsidR="00A857E7" w:rsidRPr="0030680A">
        <w:t>.</w:t>
      </w:r>
      <w:r w:rsidR="00954B1C">
        <w:t xml:space="preserve"> </w:t>
      </w:r>
      <w:r w:rsidR="00E54F31" w:rsidRPr="0030680A">
        <w:t>Questions</w:t>
      </w:r>
    </w:p>
    <w:p w14:paraId="3BB2A976" w14:textId="77777777" w:rsidR="00A857E7" w:rsidRPr="00016E69" w:rsidRDefault="00A857E7" w:rsidP="007837FC">
      <w:pPr>
        <w:pStyle w:val="Listenabsatz"/>
        <w:numPr>
          <w:ilvl w:val="3"/>
          <w:numId w:val="2"/>
        </w:numPr>
        <w:spacing w:before="120" w:after="120"/>
        <w:contextualSpacing w:val="0"/>
        <w:rPr>
          <w:rFonts w:cs="Garamond"/>
          <w:b/>
          <w:sz w:val="24"/>
          <w:szCs w:val="24"/>
          <w:lang w:val="en-US"/>
        </w:rPr>
      </w:pPr>
      <w:r w:rsidRPr="00016E69">
        <w:rPr>
          <w:rFonts w:cs="Garamond"/>
          <w:b/>
          <w:sz w:val="24"/>
          <w:szCs w:val="24"/>
          <w:lang w:val="en-US"/>
        </w:rPr>
        <w:t xml:space="preserve">In your view, does the possibility to open insolvency proceedings where the debtor faces non-financial difficulties raise any concerns? (e.g. where </w:t>
      </w:r>
      <w:r w:rsidR="00271460" w:rsidRPr="00016E69">
        <w:rPr>
          <w:rFonts w:cs="Garamond"/>
          <w:b/>
          <w:sz w:val="24"/>
          <w:szCs w:val="24"/>
          <w:lang w:val="en-US"/>
        </w:rPr>
        <w:t>“</w:t>
      </w:r>
      <w:r w:rsidRPr="00016E69">
        <w:rPr>
          <w:rFonts w:cs="Garamond"/>
          <w:b/>
          <w:sz w:val="24"/>
          <w:szCs w:val="24"/>
          <w:lang w:val="en-US"/>
        </w:rPr>
        <w:t>the debtor has lost a contract which is of key importance to him</w:t>
      </w:r>
      <w:r w:rsidR="00271460" w:rsidRPr="00016E69">
        <w:rPr>
          <w:rFonts w:cs="Garamond"/>
          <w:b/>
          <w:sz w:val="24"/>
          <w:szCs w:val="24"/>
          <w:lang w:val="en-US"/>
        </w:rPr>
        <w:t>”</w:t>
      </w:r>
      <w:r w:rsidRPr="00016E69">
        <w:rPr>
          <w:rFonts w:cs="Garamond"/>
          <w:b/>
          <w:sz w:val="24"/>
          <w:szCs w:val="24"/>
          <w:lang w:val="en-US"/>
        </w:rPr>
        <w:t>, as provided for in recital 17 EIR-R)</w:t>
      </w:r>
    </w:p>
    <w:p w14:paraId="501BEF5B" w14:textId="77777777" w:rsidR="00A857E7" w:rsidRDefault="00D92E65" w:rsidP="007837FC">
      <w:pPr>
        <w:spacing w:before="120" w:after="120"/>
        <w:ind w:left="851"/>
        <w:jc w:val="both"/>
        <w:rPr>
          <w:rFonts w:ascii="Garamond" w:hAnsi="Garamond" w:cs="Garamond"/>
          <w:sz w:val="24"/>
          <w:szCs w:val="24"/>
        </w:rPr>
      </w:pPr>
      <w:r>
        <w:rPr>
          <w:rFonts w:ascii="Garamond" w:hAnsi="Garamond" w:cs="Garamond"/>
          <w:sz w:val="24"/>
          <w:szCs w:val="24"/>
        </w:rPr>
        <w:fldChar w:fldCharType="begin">
          <w:ffData>
            <w:name w:val="Check1"/>
            <w:enabled/>
            <w:calcOnExit w:val="0"/>
            <w:checkBox>
              <w:sizeAuto/>
              <w:default w:val="0"/>
              <w:checked w:val="0"/>
            </w:checkBox>
          </w:ffData>
        </w:fldChar>
      </w:r>
      <w:bookmarkStart w:id="3" w:name="Check1"/>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bookmarkEnd w:id="3"/>
      <w:r w:rsidR="00A857E7" w:rsidRPr="00016E69">
        <w:rPr>
          <w:rFonts w:ascii="Garamond" w:hAnsi="Garamond" w:cs="Garamond"/>
          <w:sz w:val="24"/>
          <w:szCs w:val="24"/>
        </w:rPr>
        <w:t xml:space="preserve"> Yes. Please specify.</w:t>
      </w:r>
    </w:p>
    <w:bookmarkStart w:id="4" w:name="OLE_LINK1"/>
    <w:bookmarkStart w:id="5" w:name="OLE_LINK2"/>
    <w:bookmarkStart w:id="6" w:name="OLE_LINK3"/>
    <w:bookmarkStart w:id="7" w:name="OLE_LINK4"/>
    <w:p w14:paraId="5ABA4794" w14:textId="77777777" w:rsidR="00D92E65" w:rsidRPr="00016E69" w:rsidRDefault="00D92E65" w:rsidP="007837FC">
      <w:pPr>
        <w:spacing w:before="120" w:after="120"/>
        <w:ind w:left="851"/>
        <w:jc w:val="both"/>
        <w:rPr>
          <w:rFonts w:ascii="Garamond" w:hAnsi="Garamond" w:cs="Garamond"/>
          <w:sz w:val="24"/>
          <w:szCs w:val="24"/>
        </w:rPr>
      </w:pPr>
      <w:r>
        <w:rPr>
          <w:rFonts w:ascii="Garamond" w:hAnsi="Garamond" w:cs="Garamond"/>
          <w:sz w:val="24"/>
          <w:szCs w:val="24"/>
        </w:rPr>
        <w:fldChar w:fldCharType="begin">
          <w:ffData>
            <w:name w:val="Text1"/>
            <w:enabled/>
            <w:calcOnExit w:val="0"/>
            <w:textInput/>
          </w:ffData>
        </w:fldChar>
      </w:r>
      <w:bookmarkStart w:id="8" w:name="Text1"/>
      <w:r>
        <w:rPr>
          <w:rFonts w:ascii="Garamond" w:hAnsi="Garamond" w:cs="Garamond"/>
          <w:sz w:val="24"/>
          <w:szCs w:val="24"/>
        </w:rPr>
        <w:instrText xml:space="preserve"> FORMTEXT </w:instrText>
      </w:r>
      <w:r>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bookmarkEnd w:id="4"/>
      <w:bookmarkEnd w:id="5"/>
      <w:bookmarkEnd w:id="6"/>
      <w:bookmarkEnd w:id="7"/>
      <w:bookmarkEnd w:id="8"/>
    </w:p>
    <w:p w14:paraId="3758EA95" w14:textId="77777777" w:rsidR="00A857E7" w:rsidRPr="00016E69" w:rsidRDefault="00D92E65" w:rsidP="007837FC">
      <w:pPr>
        <w:spacing w:before="120" w:after="120"/>
        <w:ind w:left="851"/>
        <w:jc w:val="both"/>
        <w:rPr>
          <w:rFonts w:ascii="Garamond" w:hAnsi="Garamond"/>
          <w:sz w:val="24"/>
          <w:szCs w:val="24"/>
        </w:rPr>
      </w:pPr>
      <w:r>
        <w:rPr>
          <w:rFonts w:ascii="Garamond" w:hAnsi="Garamond" w:cs="Garamond"/>
          <w:sz w:val="24"/>
          <w:szCs w:val="24"/>
        </w:rPr>
        <w:fldChar w:fldCharType="begin">
          <w:ffData>
            <w:name w:val="Check1"/>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r w:rsidR="00A857E7" w:rsidRPr="00016E69">
        <w:rPr>
          <w:rFonts w:ascii="Garamond" w:hAnsi="Garamond"/>
          <w:sz w:val="24"/>
          <w:szCs w:val="24"/>
        </w:rPr>
        <w:t xml:space="preserve"> No. </w:t>
      </w:r>
      <w:r w:rsidR="004F4EEE" w:rsidRPr="00016E69">
        <w:rPr>
          <w:rFonts w:ascii="Garamond" w:hAnsi="Garamond"/>
          <w:sz w:val="24"/>
          <w:szCs w:val="24"/>
        </w:rPr>
        <w:t>“</w:t>
      </w:r>
      <w:r w:rsidR="00A857E7" w:rsidRPr="00016E69">
        <w:rPr>
          <w:rFonts w:ascii="Garamond" w:hAnsi="Garamond"/>
          <w:sz w:val="24"/>
          <w:szCs w:val="24"/>
        </w:rPr>
        <w:t>Non-financial difficulties [which] give rise to a real and serious threat to the debtor’s actual or future ability to pay its debts as they fall due</w:t>
      </w:r>
      <w:r w:rsidR="004F4EEE" w:rsidRPr="00016E69">
        <w:rPr>
          <w:rFonts w:ascii="Garamond" w:hAnsi="Garamond"/>
          <w:sz w:val="24"/>
          <w:szCs w:val="24"/>
        </w:rPr>
        <w:t>”</w:t>
      </w:r>
      <w:r w:rsidR="00A857E7" w:rsidRPr="00016E69">
        <w:rPr>
          <w:rFonts w:ascii="Garamond" w:hAnsi="Garamond"/>
          <w:sz w:val="24"/>
          <w:szCs w:val="24"/>
        </w:rPr>
        <w:t xml:space="preserve">, even when due to the loss of </w:t>
      </w:r>
      <w:r w:rsidR="00652BD4" w:rsidRPr="00016E69">
        <w:rPr>
          <w:rFonts w:ascii="Garamond" w:hAnsi="Garamond"/>
          <w:sz w:val="24"/>
          <w:szCs w:val="24"/>
        </w:rPr>
        <w:t>“</w:t>
      </w:r>
      <w:r w:rsidR="00A857E7" w:rsidRPr="00016E69">
        <w:rPr>
          <w:rFonts w:ascii="Garamond" w:hAnsi="Garamond"/>
          <w:sz w:val="24"/>
          <w:szCs w:val="24"/>
        </w:rPr>
        <w:t>a contract of key importance to [the debtor]</w:t>
      </w:r>
      <w:r w:rsidR="00652BD4" w:rsidRPr="00016E69">
        <w:rPr>
          <w:rFonts w:ascii="Garamond" w:hAnsi="Garamond"/>
          <w:sz w:val="24"/>
          <w:szCs w:val="24"/>
        </w:rPr>
        <w:t>”</w:t>
      </w:r>
      <w:r w:rsidR="00A857E7" w:rsidRPr="00016E69">
        <w:rPr>
          <w:rFonts w:ascii="Garamond" w:hAnsi="Garamond"/>
          <w:sz w:val="24"/>
          <w:szCs w:val="24"/>
        </w:rPr>
        <w:t xml:space="preserve">, fall under the general category of </w:t>
      </w:r>
      <w:r w:rsidR="00A857E7" w:rsidRPr="00016E69">
        <w:rPr>
          <w:rFonts w:ascii="Garamond" w:hAnsi="Garamond"/>
          <w:sz w:val="24"/>
          <w:szCs w:val="24"/>
        </w:rPr>
        <w:lastRenderedPageBreak/>
        <w:t xml:space="preserve">pre-insolvency, meant as </w:t>
      </w:r>
      <w:r w:rsidR="00652BD4" w:rsidRPr="00016E69">
        <w:rPr>
          <w:rFonts w:ascii="Garamond" w:hAnsi="Garamond"/>
          <w:sz w:val="24"/>
          <w:szCs w:val="24"/>
        </w:rPr>
        <w:t>“</w:t>
      </w:r>
      <w:r w:rsidR="00A857E7" w:rsidRPr="00016E69">
        <w:rPr>
          <w:rFonts w:ascii="Garamond" w:hAnsi="Garamond"/>
          <w:sz w:val="24"/>
          <w:szCs w:val="24"/>
        </w:rPr>
        <w:t>likelihood of insolvency</w:t>
      </w:r>
      <w:r w:rsidR="00652BD4" w:rsidRPr="00016E69">
        <w:rPr>
          <w:rFonts w:ascii="Garamond" w:hAnsi="Garamond"/>
          <w:sz w:val="24"/>
          <w:szCs w:val="24"/>
        </w:rPr>
        <w:t>”</w:t>
      </w:r>
      <w:r w:rsidR="00A857E7" w:rsidRPr="00016E69">
        <w:rPr>
          <w:rFonts w:ascii="Garamond" w:hAnsi="Garamond"/>
          <w:sz w:val="24"/>
          <w:szCs w:val="24"/>
        </w:rPr>
        <w:t xml:space="preserve">: therefore, proceedings based on such non-financial difficulties should be seen as a subcategory of pre-insolvency proceedings, and should not give rise to specific issues. </w:t>
      </w:r>
    </w:p>
    <w:p w14:paraId="692C2C98" w14:textId="77777777" w:rsidR="004F4EEE" w:rsidRPr="002C6D9A" w:rsidRDefault="004F4EEE" w:rsidP="007837FC">
      <w:pPr>
        <w:spacing w:before="120" w:after="120"/>
        <w:ind w:left="851"/>
        <w:jc w:val="both"/>
        <w:rPr>
          <w:rFonts w:ascii="Garamond" w:hAnsi="Garamond"/>
          <w:sz w:val="24"/>
          <w:szCs w:val="24"/>
        </w:rPr>
      </w:pPr>
    </w:p>
    <w:p w14:paraId="5EB7B495" w14:textId="77777777" w:rsidR="00A857E7" w:rsidRPr="00016E69" w:rsidRDefault="00A857E7" w:rsidP="007837FC">
      <w:pPr>
        <w:pStyle w:val="Listenabsatz"/>
        <w:numPr>
          <w:ilvl w:val="3"/>
          <w:numId w:val="2"/>
        </w:numPr>
        <w:spacing w:before="120" w:after="120" w:line="276" w:lineRule="auto"/>
        <w:contextualSpacing w:val="0"/>
        <w:rPr>
          <w:rFonts w:cs="Garamond"/>
          <w:b/>
          <w:sz w:val="24"/>
          <w:szCs w:val="24"/>
          <w:lang w:val="en-US"/>
        </w:rPr>
      </w:pPr>
      <w:r w:rsidRPr="00016E69">
        <w:rPr>
          <w:rFonts w:cs="Garamond"/>
          <w:b/>
          <w:sz w:val="24"/>
          <w:szCs w:val="24"/>
          <w:lang w:val="en-US"/>
        </w:rPr>
        <w:t xml:space="preserve">Is a uniform definition of </w:t>
      </w:r>
      <w:r w:rsidR="005E5BB1" w:rsidRPr="00016E69">
        <w:rPr>
          <w:rFonts w:cs="Garamond"/>
          <w:b/>
          <w:sz w:val="24"/>
          <w:szCs w:val="24"/>
          <w:lang w:val="en-US"/>
        </w:rPr>
        <w:t>“</w:t>
      </w:r>
      <w:r w:rsidRPr="00016E69">
        <w:rPr>
          <w:rFonts w:cs="Garamond"/>
          <w:b/>
          <w:sz w:val="24"/>
          <w:szCs w:val="24"/>
          <w:lang w:val="en-US"/>
        </w:rPr>
        <w:t>insolvency</w:t>
      </w:r>
      <w:r w:rsidR="005E5BB1" w:rsidRPr="00016E69">
        <w:rPr>
          <w:rFonts w:cs="Garamond"/>
          <w:b/>
          <w:sz w:val="24"/>
          <w:szCs w:val="24"/>
          <w:lang w:val="en-US"/>
        </w:rPr>
        <w:t>”</w:t>
      </w:r>
      <w:r w:rsidRPr="00016E69">
        <w:rPr>
          <w:rFonts w:cs="Garamond"/>
          <w:b/>
          <w:sz w:val="24"/>
          <w:szCs w:val="24"/>
          <w:lang w:val="en-US"/>
        </w:rPr>
        <w:t xml:space="preserve"> needed?</w:t>
      </w:r>
    </w:p>
    <w:p w14:paraId="4897B183" w14:textId="77777777" w:rsidR="00A857E7" w:rsidRPr="00016E69" w:rsidRDefault="00D92E65" w:rsidP="007837FC">
      <w:pPr>
        <w:suppressAutoHyphens/>
        <w:spacing w:before="120" w:after="120"/>
        <w:ind w:left="851"/>
        <w:jc w:val="both"/>
        <w:rPr>
          <w:rFonts w:ascii="Garamond" w:hAnsi="Garamond" w:cs="Garamond"/>
          <w:sz w:val="24"/>
          <w:szCs w:val="24"/>
        </w:rPr>
      </w:pPr>
      <w:r>
        <w:rPr>
          <w:rFonts w:ascii="Garamond" w:hAnsi="Garamond" w:cs="Garamond"/>
          <w:sz w:val="24"/>
          <w:szCs w:val="24"/>
        </w:rPr>
        <w:fldChar w:fldCharType="begin">
          <w:ffData>
            <w:name w:val="Check1"/>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r w:rsidR="00A857E7" w:rsidRPr="00016E69">
        <w:rPr>
          <w:rFonts w:ascii="Garamond" w:hAnsi="Garamond" w:cs="Garamond"/>
          <w:sz w:val="24"/>
          <w:szCs w:val="24"/>
        </w:rPr>
        <w:t xml:space="preserve"> Yes. It is desirable, in order to avoid that the opening of territorial proceedings prior to the opening of main proceedings could be obtained only in some Member States.</w:t>
      </w:r>
    </w:p>
    <w:p w14:paraId="7E81D251" w14:textId="77777777" w:rsidR="00A857E7" w:rsidRPr="00016E69" w:rsidRDefault="00D92E65" w:rsidP="007837FC">
      <w:pPr>
        <w:suppressAutoHyphens/>
        <w:spacing w:before="120" w:after="120"/>
        <w:ind w:left="851"/>
        <w:jc w:val="both"/>
        <w:rPr>
          <w:rFonts w:ascii="Garamond" w:hAnsi="Garamond" w:cs="Garamond"/>
          <w:sz w:val="24"/>
          <w:szCs w:val="24"/>
        </w:rPr>
      </w:pPr>
      <w:r>
        <w:rPr>
          <w:rFonts w:ascii="Garamond" w:hAnsi="Garamond" w:cs="Garamond"/>
          <w:sz w:val="24"/>
          <w:szCs w:val="24"/>
        </w:rPr>
        <w:fldChar w:fldCharType="begin">
          <w:ffData>
            <w:name w:val="Check1"/>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r w:rsidR="00A857E7" w:rsidRPr="00016E69">
        <w:rPr>
          <w:rFonts w:ascii="Garamond" w:hAnsi="Garamond" w:cs="Garamond"/>
          <w:sz w:val="24"/>
          <w:szCs w:val="24"/>
        </w:rPr>
        <w:t xml:space="preserve"> Yes. It is important to distinguish among the various proceedings that are covered by the EIR-R</w:t>
      </w:r>
      <w:r w:rsidR="00652BD4" w:rsidRPr="00016E69">
        <w:rPr>
          <w:rFonts w:ascii="Garamond" w:hAnsi="Garamond" w:cs="Garamond"/>
          <w:sz w:val="24"/>
          <w:szCs w:val="24"/>
        </w:rPr>
        <w:t>.</w:t>
      </w:r>
    </w:p>
    <w:p w14:paraId="556E6490" w14:textId="77777777" w:rsidR="00A857E7" w:rsidRPr="00016E69" w:rsidRDefault="00D92E65" w:rsidP="007837FC">
      <w:pPr>
        <w:suppressAutoHyphens/>
        <w:spacing w:before="120" w:after="120"/>
        <w:ind w:left="851"/>
        <w:jc w:val="both"/>
        <w:rPr>
          <w:rFonts w:ascii="Garamond" w:hAnsi="Garamond" w:cs="Garamond"/>
          <w:sz w:val="24"/>
          <w:szCs w:val="24"/>
        </w:rPr>
      </w:pPr>
      <w:r>
        <w:rPr>
          <w:rFonts w:ascii="Garamond" w:hAnsi="Garamond" w:cs="Garamond"/>
          <w:sz w:val="24"/>
          <w:szCs w:val="24"/>
        </w:rPr>
        <w:fldChar w:fldCharType="begin">
          <w:ffData>
            <w:name w:val="Check1"/>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r w:rsidR="00A857E7" w:rsidRPr="00016E69">
        <w:rPr>
          <w:rFonts w:ascii="Garamond" w:hAnsi="Garamond" w:cs="Garamond"/>
          <w:sz w:val="24"/>
          <w:szCs w:val="24"/>
        </w:rPr>
        <w:t xml:space="preserve"> No. The notion of </w:t>
      </w:r>
      <w:r w:rsidR="004F4EEE" w:rsidRPr="00016E69">
        <w:rPr>
          <w:rFonts w:ascii="Garamond" w:hAnsi="Garamond" w:cs="Garamond"/>
          <w:sz w:val="24"/>
          <w:szCs w:val="24"/>
        </w:rPr>
        <w:t>“</w:t>
      </w:r>
      <w:r w:rsidR="00A857E7" w:rsidRPr="00016E69">
        <w:rPr>
          <w:rFonts w:ascii="Garamond" w:hAnsi="Garamond" w:cs="Garamond"/>
          <w:sz w:val="24"/>
          <w:szCs w:val="24"/>
        </w:rPr>
        <w:t>insolvency</w:t>
      </w:r>
      <w:r w:rsidR="004F4EEE" w:rsidRPr="00016E69">
        <w:rPr>
          <w:rFonts w:ascii="Garamond" w:hAnsi="Garamond" w:cs="Garamond"/>
          <w:sz w:val="24"/>
          <w:szCs w:val="24"/>
        </w:rPr>
        <w:t>”</w:t>
      </w:r>
      <w:r w:rsidR="00A857E7" w:rsidRPr="00016E69">
        <w:rPr>
          <w:rFonts w:ascii="Garamond" w:hAnsi="Garamond" w:cs="Garamond"/>
          <w:sz w:val="24"/>
          <w:szCs w:val="24"/>
        </w:rPr>
        <w:t xml:space="preserve"> should be determined according to the</w:t>
      </w:r>
      <w:r w:rsidR="005E5BB1" w:rsidRPr="00016E69">
        <w:rPr>
          <w:rFonts w:ascii="Garamond" w:hAnsi="Garamond" w:cs="Garamond"/>
          <w:sz w:val="24"/>
          <w:szCs w:val="24"/>
        </w:rPr>
        <w:t xml:space="preserve"> </w:t>
      </w:r>
      <w:r w:rsidR="00A857E7" w:rsidRPr="00016E69">
        <w:rPr>
          <w:rFonts w:ascii="Garamond" w:hAnsi="Garamond" w:cs="Garamond"/>
          <w:i/>
          <w:sz w:val="24"/>
          <w:szCs w:val="24"/>
        </w:rPr>
        <w:t xml:space="preserve">lex fori concursus principalis </w:t>
      </w:r>
      <w:proofErr w:type="gramStart"/>
      <w:r w:rsidR="00A857E7" w:rsidRPr="00016E69">
        <w:rPr>
          <w:rFonts w:ascii="Garamond" w:hAnsi="Garamond" w:cs="Garamond"/>
          <w:i/>
          <w:sz w:val="24"/>
          <w:szCs w:val="24"/>
        </w:rPr>
        <w:t>oder</w:t>
      </w:r>
      <w:proofErr w:type="gramEnd"/>
      <w:r w:rsidR="00A857E7" w:rsidRPr="00016E69">
        <w:rPr>
          <w:rFonts w:ascii="Garamond" w:hAnsi="Garamond" w:cs="Garamond"/>
          <w:i/>
          <w:sz w:val="24"/>
          <w:szCs w:val="24"/>
        </w:rPr>
        <w:t xml:space="preserve"> secudariae</w:t>
      </w:r>
      <w:r w:rsidR="00A857E7" w:rsidRPr="00AA6D5E">
        <w:rPr>
          <w:rFonts w:ascii="Garamond" w:hAnsi="Garamond" w:cs="Garamond"/>
          <w:sz w:val="24"/>
          <w:szCs w:val="24"/>
        </w:rPr>
        <w:t>. After all, Article 34, second sentence (</w:t>
      </w:r>
      <w:r w:rsidR="004F4EEE" w:rsidRPr="00B07777">
        <w:rPr>
          <w:rFonts w:ascii="Garamond" w:hAnsi="Garamond" w:cs="Garamond"/>
          <w:sz w:val="24"/>
          <w:szCs w:val="24"/>
        </w:rPr>
        <w:t>“</w:t>
      </w:r>
      <w:r w:rsidR="00A857E7" w:rsidRPr="00F13D4B">
        <w:rPr>
          <w:rFonts w:ascii="Garamond" w:hAnsi="Garamond" w:cs="Garamond"/>
          <w:sz w:val="24"/>
          <w:szCs w:val="24"/>
        </w:rPr>
        <w:t>where the main insolvency proceedings required that the debtor be insolvent, the debtor’s insolvency shall not be re-examined in the Member State in which secondary insolvency proceedings may be opened</w:t>
      </w:r>
      <w:r w:rsidR="004F4EEE" w:rsidRPr="00016E69">
        <w:rPr>
          <w:rFonts w:ascii="Garamond" w:hAnsi="Garamond" w:cs="Garamond"/>
          <w:sz w:val="24"/>
          <w:szCs w:val="24"/>
        </w:rPr>
        <w:t>”</w:t>
      </w:r>
      <w:r w:rsidR="00A857E7" w:rsidRPr="00016E69">
        <w:rPr>
          <w:rFonts w:ascii="Garamond" w:hAnsi="Garamond" w:cs="Garamond"/>
          <w:sz w:val="24"/>
          <w:szCs w:val="24"/>
        </w:rPr>
        <w:t>), seems to be aimed at preventing the risks implied by the different national definitions of insolvency.</w:t>
      </w:r>
    </w:p>
    <w:p w14:paraId="0714BAF6" w14:textId="77777777" w:rsidR="00A857E7" w:rsidRDefault="00D92E65" w:rsidP="007837FC">
      <w:pPr>
        <w:suppressAutoHyphens/>
        <w:spacing w:before="120" w:after="120"/>
        <w:ind w:left="851"/>
        <w:jc w:val="both"/>
        <w:rPr>
          <w:rFonts w:ascii="Garamond" w:hAnsi="Garamond" w:cs="Garamond"/>
          <w:sz w:val="24"/>
          <w:szCs w:val="24"/>
        </w:rPr>
      </w:pPr>
      <w:r>
        <w:rPr>
          <w:rFonts w:ascii="Garamond" w:hAnsi="Garamond" w:cs="Garamond"/>
          <w:sz w:val="24"/>
          <w:szCs w:val="24"/>
        </w:rPr>
        <w:fldChar w:fldCharType="begin">
          <w:ffData>
            <w:name w:val="Check1"/>
            <w:enabled/>
            <w:calcOnExit w:val="0"/>
            <w:checkBox>
              <w:sizeAuto/>
              <w:default w:val="0"/>
            </w:checkBox>
          </w:ffData>
        </w:fldChar>
      </w:r>
      <w:r>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r w:rsidR="00A857E7" w:rsidRPr="00016E69">
        <w:rPr>
          <w:rFonts w:ascii="Garamond" w:hAnsi="Garamond" w:cs="Garamond"/>
          <w:sz w:val="24"/>
          <w:szCs w:val="24"/>
        </w:rPr>
        <w:t xml:space="preserve"> </w:t>
      </w:r>
      <w:proofErr w:type="gramStart"/>
      <w:r w:rsidR="00A857E7" w:rsidRPr="00016E69">
        <w:rPr>
          <w:rFonts w:ascii="Garamond" w:hAnsi="Garamond" w:cs="Garamond"/>
          <w:sz w:val="24"/>
          <w:szCs w:val="24"/>
        </w:rPr>
        <w:t>Other.</w:t>
      </w:r>
      <w:proofErr w:type="gramEnd"/>
    </w:p>
    <w:p w14:paraId="41553041" w14:textId="77777777" w:rsidR="00954B1C" w:rsidRDefault="00D92E65" w:rsidP="00954B1C">
      <w:pPr>
        <w:suppressAutoHyphens/>
        <w:spacing w:before="120" w:after="120"/>
        <w:ind w:left="851"/>
        <w:jc w:val="both"/>
        <w:rPr>
          <w:rFonts w:ascii="Garamond" w:hAnsi="Garamond" w:cs="Garamond"/>
          <w:sz w:val="24"/>
          <w:szCs w:val="24"/>
        </w:rPr>
      </w:pPr>
      <w:r>
        <w:rPr>
          <w:rFonts w:ascii="Garamond" w:hAnsi="Garamond" w:cs="Garamond"/>
          <w:sz w:val="24"/>
          <w:szCs w:val="24"/>
        </w:rPr>
        <w:fldChar w:fldCharType="begin">
          <w:ffData>
            <w:name w:val="Text1"/>
            <w:enabled/>
            <w:calcOnExit w:val="0"/>
            <w:textInput/>
          </w:ffData>
        </w:fldChar>
      </w:r>
      <w:r>
        <w:rPr>
          <w:rFonts w:ascii="Garamond" w:hAnsi="Garamond" w:cs="Garamond"/>
          <w:sz w:val="24"/>
          <w:szCs w:val="24"/>
        </w:rPr>
        <w:instrText xml:space="preserve"> FORMTEXT </w:instrText>
      </w:r>
      <w:r>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p>
    <w:p w14:paraId="7C2912FD" w14:textId="77777777" w:rsidR="00954B1C" w:rsidRDefault="00954B1C" w:rsidP="00954B1C">
      <w:pPr>
        <w:suppressAutoHyphens/>
        <w:spacing w:before="120" w:after="120"/>
        <w:ind w:left="851"/>
        <w:jc w:val="both"/>
        <w:rPr>
          <w:rFonts w:ascii="Garamond" w:hAnsi="Garamond" w:cs="Garamond"/>
          <w:sz w:val="24"/>
          <w:szCs w:val="24"/>
        </w:rPr>
      </w:pPr>
    </w:p>
    <w:p w14:paraId="4ECA6AE5" w14:textId="77777777" w:rsidR="00A857E7" w:rsidRPr="00954B1C" w:rsidRDefault="00A857E7" w:rsidP="00954B1C">
      <w:pPr>
        <w:pStyle w:val="Listenabsatz"/>
        <w:numPr>
          <w:ilvl w:val="3"/>
          <w:numId w:val="2"/>
        </w:numPr>
        <w:spacing w:before="120" w:after="120" w:line="276" w:lineRule="auto"/>
        <w:contextualSpacing w:val="0"/>
        <w:rPr>
          <w:rFonts w:cs="Garamond"/>
          <w:b/>
          <w:sz w:val="24"/>
          <w:szCs w:val="24"/>
          <w:lang w:val="en-US"/>
        </w:rPr>
      </w:pPr>
      <w:r w:rsidRPr="00954B1C">
        <w:rPr>
          <w:rFonts w:cs="Garamond"/>
          <w:b/>
          <w:sz w:val="24"/>
          <w:szCs w:val="24"/>
          <w:lang w:val="en-US"/>
        </w:rPr>
        <w:t>If so, should a liquidity test be preferred, as Recital 17 appears to suggest?</w:t>
      </w:r>
    </w:p>
    <w:p w14:paraId="4673BE1D" w14:textId="77777777" w:rsidR="00A857E7" w:rsidRPr="00016E69" w:rsidRDefault="00D92E65" w:rsidP="007837FC">
      <w:pPr>
        <w:pStyle w:val="Listenabsatz"/>
        <w:spacing w:before="120" w:after="120" w:line="276" w:lineRule="auto"/>
        <w:ind w:left="851"/>
        <w:contextualSpacing w:val="0"/>
        <w:rPr>
          <w:rFonts w:cs="Garamond"/>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A857E7" w:rsidRPr="00016E69">
        <w:rPr>
          <w:rFonts w:cs="Garamond"/>
          <w:sz w:val="24"/>
          <w:szCs w:val="24"/>
          <w:lang w:val="en-US"/>
        </w:rPr>
        <w:t xml:space="preserve"> Yes.</w:t>
      </w:r>
    </w:p>
    <w:p w14:paraId="61514017" w14:textId="77777777" w:rsidR="00A857E7" w:rsidRPr="00016E69" w:rsidRDefault="00D92E65" w:rsidP="007837FC">
      <w:pPr>
        <w:pStyle w:val="Listenabsatz"/>
        <w:spacing w:before="120" w:after="120" w:line="276" w:lineRule="auto"/>
        <w:ind w:left="851"/>
        <w:contextualSpacing w:val="0"/>
        <w:rPr>
          <w:rFonts w:cs="Garamond"/>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A857E7" w:rsidRPr="00016E69">
        <w:rPr>
          <w:rFonts w:cs="Garamond"/>
          <w:sz w:val="24"/>
          <w:szCs w:val="24"/>
          <w:lang w:val="en-US"/>
        </w:rPr>
        <w:t xml:space="preserve"> No. Even a balance-sheet test could be suitable.</w:t>
      </w:r>
    </w:p>
    <w:p w14:paraId="05149F3B" w14:textId="77777777" w:rsidR="00A857E7" w:rsidRPr="00016E69" w:rsidRDefault="00D92E65" w:rsidP="007837FC">
      <w:pPr>
        <w:pStyle w:val="Listenabsatz"/>
        <w:tabs>
          <w:tab w:val="left" w:pos="3225"/>
        </w:tabs>
        <w:spacing w:before="120" w:after="120" w:line="276" w:lineRule="auto"/>
        <w:ind w:left="851"/>
        <w:contextualSpacing w:val="0"/>
        <w:rPr>
          <w:rFonts w:cs="Garamond"/>
          <w:sz w:val="24"/>
          <w:szCs w:val="24"/>
          <w:lang w:val="en-US"/>
        </w:rPr>
      </w:pPr>
      <w:r>
        <w:rPr>
          <w:rFonts w:cs="Garamond"/>
          <w:sz w:val="24"/>
          <w:szCs w:val="24"/>
        </w:rPr>
        <w:fldChar w:fldCharType="begin">
          <w:ffData>
            <w:name w:val="Check1"/>
            <w:enabled/>
            <w:calcOnExit w:val="0"/>
            <w:checkBox>
              <w:sizeAuto/>
              <w:default w:val="0"/>
            </w:checkBox>
          </w:ffData>
        </w:fldChar>
      </w:r>
      <w:r w:rsidRPr="00954B1C">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A857E7" w:rsidRPr="00954B1C">
        <w:rPr>
          <w:rFonts w:cs="Garamond" w:hint="eastAsia"/>
          <w:sz w:val="24"/>
          <w:szCs w:val="24"/>
          <w:lang w:val="en-US"/>
        </w:rPr>
        <w:t xml:space="preserve"> </w:t>
      </w:r>
      <w:proofErr w:type="gramStart"/>
      <w:r w:rsidR="00A857E7" w:rsidRPr="00016E69">
        <w:rPr>
          <w:rFonts w:cs="Garamond"/>
          <w:sz w:val="24"/>
          <w:szCs w:val="24"/>
          <w:lang w:val="en-US"/>
        </w:rPr>
        <w:t>Other.</w:t>
      </w:r>
      <w:proofErr w:type="gramEnd"/>
    </w:p>
    <w:p w14:paraId="032D4AFE" w14:textId="77777777" w:rsidR="00A857E7" w:rsidRDefault="00D92E65" w:rsidP="007837FC">
      <w:pPr>
        <w:pStyle w:val="Listenabsatz"/>
        <w:tabs>
          <w:tab w:val="left" w:pos="3225"/>
        </w:tabs>
        <w:spacing w:before="120" w:after="120" w:line="276" w:lineRule="auto"/>
        <w:ind w:left="851"/>
        <w:contextualSpacing w:val="0"/>
        <w:rPr>
          <w:rFonts w:cs="Garamond"/>
          <w:sz w:val="24"/>
          <w:szCs w:val="24"/>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7BA29A5B" w14:textId="77777777" w:rsidR="00D92E65" w:rsidRPr="002C6D9A" w:rsidRDefault="00D92E65" w:rsidP="007837FC">
      <w:pPr>
        <w:pStyle w:val="Listenabsatz"/>
        <w:tabs>
          <w:tab w:val="left" w:pos="3225"/>
        </w:tabs>
        <w:spacing w:before="120" w:after="120" w:line="276" w:lineRule="auto"/>
        <w:ind w:left="851"/>
        <w:contextualSpacing w:val="0"/>
        <w:rPr>
          <w:rFonts w:cs="Garamond"/>
          <w:sz w:val="24"/>
          <w:szCs w:val="24"/>
          <w:lang w:val="en-US"/>
        </w:rPr>
      </w:pPr>
    </w:p>
    <w:p w14:paraId="28089C15" w14:textId="77777777" w:rsidR="00A857E7" w:rsidRPr="00016E69" w:rsidRDefault="00A857E7" w:rsidP="007837FC">
      <w:pPr>
        <w:pStyle w:val="Listenabsatz"/>
        <w:numPr>
          <w:ilvl w:val="3"/>
          <w:numId w:val="2"/>
        </w:numPr>
        <w:spacing w:before="120" w:after="120"/>
        <w:contextualSpacing w:val="0"/>
        <w:rPr>
          <w:rFonts w:cs="Garamond"/>
          <w:b/>
          <w:sz w:val="24"/>
          <w:szCs w:val="24"/>
          <w:lang w:val="en-US"/>
        </w:rPr>
      </w:pPr>
      <w:proofErr w:type="gramStart"/>
      <w:r w:rsidRPr="00016E69">
        <w:rPr>
          <w:rFonts w:cs="Garamond"/>
          <w:b/>
          <w:sz w:val="24"/>
          <w:szCs w:val="24"/>
          <w:lang w:val="en-US"/>
        </w:rPr>
        <w:t>Is</w:t>
      </w:r>
      <w:proofErr w:type="gramEnd"/>
      <w:r w:rsidRPr="00016E69">
        <w:rPr>
          <w:rFonts w:cs="Garamond"/>
          <w:b/>
          <w:sz w:val="24"/>
          <w:szCs w:val="24"/>
          <w:lang w:val="en-US"/>
        </w:rPr>
        <w:t xml:space="preserve"> the COMI presumption and the new </w:t>
      </w:r>
      <w:r w:rsidR="005E5BB1" w:rsidRPr="00016E69">
        <w:rPr>
          <w:rFonts w:cs="Garamond"/>
          <w:b/>
          <w:sz w:val="24"/>
          <w:szCs w:val="24"/>
          <w:lang w:val="en-US"/>
        </w:rPr>
        <w:t>“</w:t>
      </w:r>
      <w:r w:rsidRPr="00016E69">
        <w:rPr>
          <w:rFonts w:cs="Garamond"/>
          <w:b/>
          <w:sz w:val="24"/>
          <w:szCs w:val="24"/>
          <w:lang w:val="en-US"/>
        </w:rPr>
        <w:t>suspect period</w:t>
      </w:r>
      <w:r w:rsidR="005E5BB1" w:rsidRPr="00016E69">
        <w:rPr>
          <w:rFonts w:cs="Garamond"/>
          <w:b/>
          <w:sz w:val="24"/>
          <w:szCs w:val="24"/>
          <w:lang w:val="en-US"/>
        </w:rPr>
        <w:t>”</w:t>
      </w:r>
      <w:r w:rsidRPr="00016E69">
        <w:rPr>
          <w:rFonts w:cs="Garamond"/>
          <w:b/>
          <w:sz w:val="24"/>
          <w:szCs w:val="24"/>
          <w:lang w:val="en-US"/>
        </w:rPr>
        <w:t xml:space="preserve"> of Article 3(1) EIR-R applicable to pre-insolvency proceedings? </w:t>
      </w:r>
    </w:p>
    <w:p w14:paraId="6D58A852" w14:textId="77777777" w:rsidR="00A857E7" w:rsidRPr="00016E69" w:rsidRDefault="00D92E65" w:rsidP="007837FC">
      <w:pPr>
        <w:pStyle w:val="Listenabsatz"/>
        <w:spacing w:before="120" w:after="120"/>
        <w:ind w:left="851"/>
        <w:contextualSpacing w:val="0"/>
        <w:rPr>
          <w:rFonts w:cs="Garamond"/>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A857E7" w:rsidRPr="00016E69">
        <w:rPr>
          <w:rFonts w:cs="Garamond"/>
          <w:sz w:val="24"/>
          <w:szCs w:val="24"/>
          <w:lang w:val="en-US"/>
        </w:rPr>
        <w:t xml:space="preserve"> Yes. Article 3(1) EIR-R does not make a distinction between proceedings based on insolvency and pre-insolvency proceedings according to the</w:t>
      </w:r>
      <w:r w:rsidR="00A857E7" w:rsidRPr="00016E69">
        <w:rPr>
          <w:rFonts w:cs="Garamond"/>
          <w:i/>
          <w:sz w:val="24"/>
          <w:szCs w:val="24"/>
          <w:lang w:val="en-US"/>
        </w:rPr>
        <w:t xml:space="preserve"> lex fori concursus</w:t>
      </w:r>
      <w:r w:rsidR="00A857E7" w:rsidRPr="00016E69">
        <w:rPr>
          <w:rFonts w:cs="Garamond"/>
          <w:sz w:val="24"/>
          <w:szCs w:val="24"/>
          <w:lang w:val="en-US"/>
        </w:rPr>
        <w:t>.</w:t>
      </w:r>
    </w:p>
    <w:p w14:paraId="7D3E31B2" w14:textId="77777777" w:rsidR="00A857E7" w:rsidRPr="00016E69" w:rsidRDefault="00D92E65" w:rsidP="007837FC">
      <w:pPr>
        <w:pStyle w:val="Listenabsatz"/>
        <w:spacing w:before="120" w:after="120"/>
        <w:ind w:left="851"/>
        <w:contextualSpacing w:val="0"/>
        <w:rPr>
          <w:rFonts w:cs="Garamond"/>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A857E7" w:rsidRPr="00016E69">
        <w:rPr>
          <w:rFonts w:cs="Garamond"/>
          <w:sz w:val="24"/>
          <w:szCs w:val="24"/>
          <w:lang w:val="en-US"/>
        </w:rPr>
        <w:t xml:space="preserve"> No. Presumptions as to </w:t>
      </w:r>
      <w:r w:rsidR="00807B1B" w:rsidRPr="00016E69">
        <w:rPr>
          <w:rFonts w:cs="Garamond"/>
          <w:sz w:val="24"/>
          <w:szCs w:val="24"/>
          <w:lang w:val="en-US"/>
        </w:rPr>
        <w:t xml:space="preserve">the debtor’s </w:t>
      </w:r>
      <w:r w:rsidR="00A857E7" w:rsidRPr="00016E69">
        <w:rPr>
          <w:rFonts w:cs="Garamond"/>
          <w:sz w:val="24"/>
          <w:szCs w:val="24"/>
          <w:lang w:val="en-US"/>
        </w:rPr>
        <w:t>COMI</w:t>
      </w:r>
      <w:r w:rsidR="00807B1B" w:rsidRPr="00016E69">
        <w:rPr>
          <w:rFonts w:cs="Garamond"/>
          <w:sz w:val="24"/>
          <w:szCs w:val="24"/>
          <w:lang w:val="en-US"/>
        </w:rPr>
        <w:t xml:space="preserve"> </w:t>
      </w:r>
      <w:r w:rsidR="00A857E7" w:rsidRPr="00016E69">
        <w:rPr>
          <w:rFonts w:cs="Garamond"/>
          <w:sz w:val="24"/>
          <w:szCs w:val="24"/>
          <w:lang w:val="en-US"/>
        </w:rPr>
        <w:t>should not be applicable to</w:t>
      </w:r>
      <w:r w:rsidR="00807B1B" w:rsidRPr="00016E69">
        <w:rPr>
          <w:rFonts w:cs="Garamond"/>
          <w:sz w:val="24"/>
          <w:szCs w:val="24"/>
          <w:lang w:val="en-US"/>
        </w:rPr>
        <w:t xml:space="preserve"> pre-insolvency</w:t>
      </w:r>
      <w:r w:rsidR="00A857E7" w:rsidRPr="00016E69">
        <w:rPr>
          <w:rFonts w:cs="Garamond"/>
          <w:sz w:val="24"/>
          <w:szCs w:val="24"/>
          <w:lang w:val="en-US"/>
        </w:rPr>
        <w:t xml:space="preserve"> proceedings</w:t>
      </w:r>
      <w:r w:rsidR="00807B1B" w:rsidRPr="00016E69">
        <w:rPr>
          <w:rFonts w:cs="Garamond"/>
          <w:sz w:val="24"/>
          <w:szCs w:val="24"/>
          <w:lang w:val="en-US"/>
        </w:rPr>
        <w:t>.</w:t>
      </w:r>
      <w:r w:rsidR="00A857E7" w:rsidRPr="00016E69">
        <w:rPr>
          <w:rFonts w:cs="Garamond"/>
          <w:sz w:val="24"/>
          <w:szCs w:val="24"/>
          <w:lang w:val="en-US"/>
        </w:rPr>
        <w:t xml:space="preserve">  </w:t>
      </w:r>
      <w:r w:rsidR="00807B1B" w:rsidRPr="00016E69">
        <w:rPr>
          <w:rFonts w:cs="Garamond"/>
          <w:sz w:val="24"/>
          <w:szCs w:val="24"/>
          <w:lang w:val="en-US"/>
        </w:rPr>
        <w:t>I</w:t>
      </w:r>
      <w:r w:rsidR="00A857E7" w:rsidRPr="00016E69">
        <w:rPr>
          <w:rFonts w:cs="Garamond"/>
          <w:sz w:val="24"/>
          <w:szCs w:val="24"/>
          <w:lang w:val="en-US"/>
        </w:rPr>
        <w:t xml:space="preserve">n this case, the </w:t>
      </w:r>
      <w:r w:rsidR="00016E69" w:rsidRPr="00016E69">
        <w:rPr>
          <w:rFonts w:cs="Garamond"/>
          <w:sz w:val="24"/>
          <w:szCs w:val="24"/>
          <w:lang w:val="en-US"/>
        </w:rPr>
        <w:t xml:space="preserve">COMI relocation </w:t>
      </w:r>
      <w:r w:rsidR="00A857E7" w:rsidRPr="00016E69">
        <w:rPr>
          <w:rFonts w:cs="Garamond"/>
          <w:sz w:val="24"/>
          <w:szCs w:val="24"/>
          <w:lang w:val="en-US"/>
        </w:rPr>
        <w:t xml:space="preserve">shall always be </w:t>
      </w:r>
      <w:r w:rsidR="00807B1B" w:rsidRPr="00016E69">
        <w:rPr>
          <w:rFonts w:cs="Garamond"/>
          <w:sz w:val="24"/>
          <w:szCs w:val="24"/>
          <w:lang w:val="en-US"/>
        </w:rPr>
        <w:t xml:space="preserve">covered by </w:t>
      </w:r>
      <w:r w:rsidR="00A857E7" w:rsidRPr="00016E69">
        <w:rPr>
          <w:rFonts w:cs="Garamond"/>
          <w:sz w:val="24"/>
          <w:szCs w:val="24"/>
          <w:lang w:val="en-US"/>
        </w:rPr>
        <w:t xml:space="preserve">the freedom of </w:t>
      </w:r>
      <w:r w:rsidR="0023450C" w:rsidRPr="00016E69">
        <w:rPr>
          <w:rFonts w:cs="Garamond"/>
          <w:sz w:val="24"/>
          <w:szCs w:val="24"/>
          <w:lang w:val="en-US"/>
        </w:rPr>
        <w:t>establishement (Article</w:t>
      </w:r>
      <w:r w:rsidR="00016E69" w:rsidRPr="00016E69">
        <w:rPr>
          <w:rFonts w:cs="Garamond"/>
          <w:sz w:val="24"/>
          <w:szCs w:val="24"/>
          <w:lang w:val="en-US"/>
        </w:rPr>
        <w:t xml:space="preserve"> 49 TFEU</w:t>
      </w:r>
      <w:r w:rsidR="0023450C" w:rsidRPr="00016E69">
        <w:rPr>
          <w:rFonts w:cs="Garamond"/>
          <w:sz w:val="24"/>
          <w:szCs w:val="24"/>
          <w:lang w:val="en-US"/>
        </w:rPr>
        <w:t>)</w:t>
      </w:r>
      <w:r w:rsidR="005E5BB1" w:rsidRPr="00016E69">
        <w:rPr>
          <w:rFonts w:cs="Garamond"/>
          <w:sz w:val="24"/>
          <w:szCs w:val="24"/>
          <w:lang w:val="en-US"/>
        </w:rPr>
        <w:t>/movement (Article 45 TFEU</w:t>
      </w:r>
      <w:proofErr w:type="gramStart"/>
      <w:r w:rsidR="005E5BB1" w:rsidRPr="00016E69">
        <w:rPr>
          <w:rFonts w:cs="Garamond"/>
          <w:sz w:val="24"/>
          <w:szCs w:val="24"/>
          <w:lang w:val="en-US"/>
        </w:rPr>
        <w:t>)</w:t>
      </w:r>
      <w:r w:rsidR="00A857E7" w:rsidRPr="00016E69">
        <w:rPr>
          <w:rFonts w:cs="Garamond"/>
          <w:sz w:val="24"/>
          <w:szCs w:val="24"/>
          <w:lang w:val="en-US"/>
        </w:rPr>
        <w:t xml:space="preserve"> .</w:t>
      </w:r>
      <w:proofErr w:type="gramEnd"/>
    </w:p>
    <w:p w14:paraId="560566AF" w14:textId="77777777" w:rsidR="00A857E7" w:rsidRPr="00016E69" w:rsidRDefault="00D92E65" w:rsidP="007837FC">
      <w:pPr>
        <w:pStyle w:val="Listenabsatz"/>
        <w:spacing w:before="120" w:after="120"/>
        <w:ind w:left="851"/>
        <w:contextualSpacing w:val="0"/>
        <w:rPr>
          <w:rFonts w:cs="Garamond"/>
          <w:i/>
          <w:iCs/>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A857E7" w:rsidRPr="00016E69">
        <w:rPr>
          <w:rFonts w:cs="Garamond" w:hint="eastAsia"/>
          <w:sz w:val="24"/>
          <w:szCs w:val="24"/>
          <w:lang w:val="en-US"/>
        </w:rPr>
        <w:t xml:space="preserve"> </w:t>
      </w:r>
      <w:r w:rsidR="00A857E7" w:rsidRPr="00016E69">
        <w:rPr>
          <w:rFonts w:cs="Garamond"/>
          <w:sz w:val="24"/>
          <w:szCs w:val="24"/>
          <w:lang w:val="en-US"/>
        </w:rPr>
        <w:t xml:space="preserve">It should be decided on </w:t>
      </w:r>
      <w:r w:rsidR="004F4EEE" w:rsidRPr="00016E69">
        <w:rPr>
          <w:rFonts w:cs="Garamond"/>
          <w:sz w:val="24"/>
          <w:szCs w:val="24"/>
          <w:lang w:val="en-US"/>
        </w:rPr>
        <w:t xml:space="preserve">a </w:t>
      </w:r>
      <w:r w:rsidR="00A857E7" w:rsidRPr="00016E69">
        <w:rPr>
          <w:rFonts w:cs="Garamond"/>
          <w:sz w:val="24"/>
          <w:szCs w:val="24"/>
          <w:lang w:val="en-US"/>
        </w:rPr>
        <w:t xml:space="preserve">case-by-case basis. The courts should examine </w:t>
      </w:r>
      <w:r w:rsidR="004F4EEE" w:rsidRPr="00016E69">
        <w:rPr>
          <w:rFonts w:cs="Garamond"/>
          <w:sz w:val="24"/>
          <w:szCs w:val="24"/>
          <w:lang w:val="en-US"/>
        </w:rPr>
        <w:t>the</w:t>
      </w:r>
      <w:r w:rsidR="00A857E7" w:rsidRPr="00016E69">
        <w:rPr>
          <w:rFonts w:cs="Garamond"/>
          <w:sz w:val="24"/>
          <w:szCs w:val="24"/>
          <w:lang w:val="en-US"/>
        </w:rPr>
        <w:t xml:space="preserve"> purpose </w:t>
      </w:r>
      <w:r w:rsidR="005E5BB1" w:rsidRPr="00016E69">
        <w:rPr>
          <w:rFonts w:cs="Garamond"/>
          <w:sz w:val="24"/>
          <w:szCs w:val="24"/>
          <w:lang w:val="en-US"/>
        </w:rPr>
        <w:t>for the COMI relocation</w:t>
      </w:r>
      <w:r w:rsidR="00A857E7" w:rsidRPr="00016E69">
        <w:rPr>
          <w:rFonts w:cs="Garamond"/>
          <w:i/>
          <w:iCs/>
          <w:sz w:val="24"/>
          <w:szCs w:val="24"/>
          <w:lang w:val="en-US"/>
        </w:rPr>
        <w:t>.</w:t>
      </w:r>
    </w:p>
    <w:p w14:paraId="28412C81" w14:textId="77777777" w:rsidR="00A857E7" w:rsidRDefault="00D92E65" w:rsidP="007837FC">
      <w:pPr>
        <w:pStyle w:val="Listenabsatz"/>
        <w:spacing w:before="120" w:after="120"/>
        <w:ind w:left="851"/>
        <w:contextualSpacing w:val="0"/>
        <w:rPr>
          <w:rFonts w:cs="Garamond"/>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A857E7" w:rsidRPr="00016E69">
        <w:rPr>
          <w:rFonts w:cs="Garamond"/>
          <w:sz w:val="24"/>
          <w:szCs w:val="24"/>
          <w:lang w:val="en-US"/>
        </w:rPr>
        <w:t xml:space="preserve"> </w:t>
      </w:r>
      <w:proofErr w:type="gramStart"/>
      <w:r w:rsidR="00A857E7" w:rsidRPr="00016E69">
        <w:rPr>
          <w:rFonts w:cs="Garamond"/>
          <w:sz w:val="24"/>
          <w:szCs w:val="24"/>
          <w:lang w:val="en-US"/>
        </w:rPr>
        <w:t>Other.</w:t>
      </w:r>
      <w:proofErr w:type="gramEnd"/>
    </w:p>
    <w:p w14:paraId="67551E0A" w14:textId="77777777" w:rsidR="00D92E65" w:rsidRDefault="00D92E65" w:rsidP="00D92E65">
      <w:pPr>
        <w:pStyle w:val="Listenabsatz"/>
        <w:tabs>
          <w:tab w:val="left" w:pos="3225"/>
        </w:tabs>
        <w:spacing w:before="120" w:after="120" w:line="276" w:lineRule="auto"/>
        <w:ind w:left="851"/>
        <w:contextualSpacing w:val="0"/>
        <w:rPr>
          <w:rFonts w:cs="Garamond"/>
          <w:sz w:val="24"/>
          <w:szCs w:val="24"/>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476E42EB" w14:textId="77777777" w:rsidR="00D92E65" w:rsidRPr="00016E69" w:rsidRDefault="00D92E65" w:rsidP="007837FC">
      <w:pPr>
        <w:pStyle w:val="Listenabsatz"/>
        <w:spacing w:before="120" w:after="120"/>
        <w:ind w:left="851"/>
        <w:contextualSpacing w:val="0"/>
        <w:rPr>
          <w:rFonts w:cs="Garamond"/>
          <w:sz w:val="24"/>
          <w:szCs w:val="24"/>
          <w:lang w:val="en-US"/>
        </w:rPr>
      </w:pPr>
    </w:p>
    <w:p w14:paraId="6C0A10AD" w14:textId="77777777" w:rsidR="00A857E7" w:rsidRPr="00F13D4B" w:rsidRDefault="00A857E7" w:rsidP="007837FC">
      <w:pPr>
        <w:pStyle w:val="Listenabsatz"/>
        <w:numPr>
          <w:ilvl w:val="3"/>
          <w:numId w:val="2"/>
        </w:numPr>
        <w:spacing w:before="120" w:after="120"/>
        <w:contextualSpacing w:val="0"/>
        <w:rPr>
          <w:rFonts w:cs="Garamond"/>
          <w:b/>
          <w:sz w:val="24"/>
          <w:szCs w:val="24"/>
          <w:lang w:val="en-US"/>
        </w:rPr>
      </w:pPr>
      <w:r w:rsidRPr="00016E69">
        <w:rPr>
          <w:rFonts w:cs="Garamond"/>
          <w:b/>
          <w:sz w:val="24"/>
          <w:szCs w:val="24"/>
          <w:lang w:val="en-US"/>
        </w:rPr>
        <w:t>Has the EIR-R rendered the CJEU judgment in</w:t>
      </w:r>
      <w:r w:rsidRPr="00016E69">
        <w:rPr>
          <w:rFonts w:cs="Garamond"/>
          <w:b/>
          <w:i/>
          <w:sz w:val="24"/>
          <w:szCs w:val="24"/>
          <w:lang w:val="en-US"/>
        </w:rPr>
        <w:t xml:space="preserve"> H</w:t>
      </w:r>
      <w:r w:rsidRPr="00B07777">
        <w:rPr>
          <w:rStyle w:val="Funotenzeichen"/>
          <w:rFonts w:cs="Garamond"/>
          <w:b/>
          <w:sz w:val="24"/>
          <w:szCs w:val="24"/>
          <w:lang w:val="en-US"/>
        </w:rPr>
        <w:footnoteReference w:id="2"/>
      </w:r>
      <w:r w:rsidRPr="00B07777">
        <w:rPr>
          <w:rFonts w:cs="Garamond"/>
          <w:b/>
          <w:sz w:val="24"/>
          <w:szCs w:val="24"/>
          <w:lang w:val="en-US"/>
        </w:rPr>
        <w:t xml:space="preserve"> obsolete, insofar as  includes in</w:t>
      </w:r>
      <w:r w:rsidRPr="00F13D4B">
        <w:rPr>
          <w:rFonts w:cs="Garamond"/>
          <w:b/>
          <w:sz w:val="24"/>
          <w:szCs w:val="24"/>
          <w:lang w:val="en-US"/>
        </w:rPr>
        <w:t xml:space="preserve"> the scope of the EIR-R proceedings that are based on general company law not designed exclusively for insolvency situations, where these proceedings have been brought in the context of insolvency proceedings?</w:t>
      </w:r>
    </w:p>
    <w:p w14:paraId="592EBED9" w14:textId="77777777" w:rsidR="00A857E7" w:rsidRDefault="00D92E65" w:rsidP="007837FC">
      <w:pPr>
        <w:pStyle w:val="Listenabsatz"/>
        <w:spacing w:before="120" w:after="120" w:line="276" w:lineRule="auto"/>
        <w:ind w:left="851"/>
        <w:contextualSpacing w:val="0"/>
        <w:rPr>
          <w:rFonts w:cs="Garamond"/>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A857E7" w:rsidRPr="00F13D4B">
        <w:rPr>
          <w:rFonts w:cs="Garamond"/>
          <w:sz w:val="24"/>
          <w:szCs w:val="24"/>
          <w:lang w:val="en-US"/>
        </w:rPr>
        <w:t xml:space="preserve"> </w:t>
      </w:r>
      <w:r w:rsidR="00DD5C69">
        <w:rPr>
          <w:rFonts w:cs="Garamond"/>
          <w:sz w:val="24"/>
          <w:szCs w:val="24"/>
          <w:lang w:val="en-US"/>
        </w:rPr>
        <w:t>Yes</w:t>
      </w:r>
      <w:r w:rsidR="00A857E7" w:rsidRPr="00F13D4B">
        <w:rPr>
          <w:rFonts w:cs="Garamond"/>
          <w:sz w:val="24"/>
          <w:szCs w:val="24"/>
          <w:lang w:val="en-US"/>
        </w:rPr>
        <w:t>. Please justify.</w:t>
      </w:r>
    </w:p>
    <w:p w14:paraId="715C6A5D" w14:textId="77777777" w:rsidR="00D92E65" w:rsidRDefault="00D92E65" w:rsidP="00D92E65">
      <w:pPr>
        <w:pStyle w:val="Listenabsatz"/>
        <w:tabs>
          <w:tab w:val="left" w:pos="3225"/>
        </w:tabs>
        <w:spacing w:before="120" w:after="120" w:line="276" w:lineRule="auto"/>
        <w:ind w:left="851"/>
        <w:contextualSpacing w:val="0"/>
        <w:rPr>
          <w:rFonts w:cs="Garamond"/>
          <w:sz w:val="24"/>
          <w:szCs w:val="24"/>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01696255" w14:textId="77777777" w:rsidR="00A857E7" w:rsidRDefault="00D92E65" w:rsidP="007837FC">
      <w:pPr>
        <w:pStyle w:val="Listenabsatz"/>
        <w:spacing w:before="120" w:after="120" w:line="276" w:lineRule="auto"/>
        <w:ind w:left="851"/>
        <w:contextualSpacing w:val="0"/>
        <w:rPr>
          <w:rFonts w:cs="Garamond"/>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A857E7" w:rsidRPr="00F13D4B">
        <w:rPr>
          <w:rFonts w:cs="Garamond"/>
          <w:sz w:val="24"/>
          <w:szCs w:val="24"/>
          <w:lang w:val="en-US"/>
        </w:rPr>
        <w:t xml:space="preserve"> </w:t>
      </w:r>
      <w:r w:rsidR="00DD5C69">
        <w:rPr>
          <w:rFonts w:cs="Garamond"/>
          <w:sz w:val="24"/>
          <w:szCs w:val="24"/>
          <w:lang w:val="en-US"/>
        </w:rPr>
        <w:t>No</w:t>
      </w:r>
      <w:r w:rsidR="00A857E7" w:rsidRPr="00F13D4B">
        <w:rPr>
          <w:rFonts w:cs="Garamond"/>
          <w:sz w:val="24"/>
          <w:szCs w:val="24"/>
          <w:lang w:val="en-US"/>
        </w:rPr>
        <w:t>. Please justify</w:t>
      </w:r>
      <w:r w:rsidR="00807B1B" w:rsidRPr="00016E69">
        <w:rPr>
          <w:rFonts w:cs="Garamond"/>
          <w:sz w:val="24"/>
          <w:szCs w:val="24"/>
          <w:lang w:val="en-US"/>
        </w:rPr>
        <w:t>.</w:t>
      </w:r>
      <w:r w:rsidR="00A857E7" w:rsidRPr="00016E69">
        <w:rPr>
          <w:rFonts w:cs="Garamond"/>
          <w:sz w:val="24"/>
          <w:szCs w:val="24"/>
          <w:lang w:val="en-US"/>
        </w:rPr>
        <w:t xml:space="preserve"> </w:t>
      </w:r>
    </w:p>
    <w:p w14:paraId="42EE03C3" w14:textId="77777777" w:rsidR="00D92E65" w:rsidRDefault="00D92E65" w:rsidP="00D92E65">
      <w:pPr>
        <w:pStyle w:val="Listenabsatz"/>
        <w:tabs>
          <w:tab w:val="left" w:pos="3225"/>
        </w:tabs>
        <w:spacing w:before="120" w:after="120" w:line="276" w:lineRule="auto"/>
        <w:ind w:left="851"/>
        <w:contextualSpacing w:val="0"/>
        <w:rPr>
          <w:rFonts w:cs="Garamond"/>
          <w:sz w:val="24"/>
          <w:szCs w:val="24"/>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4013221D" w14:textId="77777777" w:rsidR="00A857E7" w:rsidRPr="00016E69" w:rsidRDefault="00A857E7" w:rsidP="007837FC">
      <w:pPr>
        <w:pStyle w:val="Listenabsatz"/>
        <w:spacing w:before="120" w:after="120" w:line="276" w:lineRule="auto"/>
        <w:ind w:left="851"/>
        <w:contextualSpacing w:val="0"/>
        <w:rPr>
          <w:rFonts w:cs="Garamond"/>
          <w:sz w:val="24"/>
          <w:szCs w:val="24"/>
          <w:lang w:val="en-US"/>
        </w:rPr>
      </w:pPr>
    </w:p>
    <w:p w14:paraId="39108269" w14:textId="77777777" w:rsidR="00A857E7" w:rsidRPr="0030680A" w:rsidRDefault="00A857E7" w:rsidP="007837FC">
      <w:pPr>
        <w:pStyle w:val="Listenabsatz"/>
        <w:numPr>
          <w:ilvl w:val="3"/>
          <w:numId w:val="2"/>
        </w:numPr>
        <w:suppressAutoHyphens/>
        <w:spacing w:before="120" w:after="120"/>
        <w:contextualSpacing w:val="0"/>
        <w:rPr>
          <w:rFonts w:cs="Garamond"/>
          <w:b/>
          <w:sz w:val="24"/>
          <w:szCs w:val="24"/>
          <w:lang w:val="en-US"/>
        </w:rPr>
      </w:pPr>
      <w:r w:rsidRPr="0030680A">
        <w:rPr>
          <w:rFonts w:cs="Garamond"/>
          <w:b/>
          <w:sz w:val="24"/>
          <w:szCs w:val="24"/>
          <w:lang w:val="en-GB"/>
        </w:rPr>
        <w:t>D</w:t>
      </w:r>
      <w:r w:rsidRPr="0030680A">
        <w:rPr>
          <w:rFonts w:cs="Garamond"/>
          <w:b/>
          <w:sz w:val="24"/>
          <w:szCs w:val="24"/>
          <w:lang w:val="en-US"/>
        </w:rPr>
        <w:t xml:space="preserve">o the CJEU Judgments in </w:t>
      </w:r>
      <w:r w:rsidRPr="0030680A">
        <w:rPr>
          <w:rFonts w:cs="Garamond"/>
          <w:b/>
          <w:i/>
          <w:sz w:val="24"/>
          <w:szCs w:val="24"/>
          <w:lang w:val="en-US"/>
        </w:rPr>
        <w:t>Schmid</w:t>
      </w:r>
      <w:r w:rsidRPr="0030680A">
        <w:rPr>
          <w:rStyle w:val="Funotenzeichen"/>
          <w:rFonts w:cs="Garamond"/>
          <w:b/>
          <w:sz w:val="24"/>
          <w:szCs w:val="24"/>
          <w:lang w:val="en-US"/>
        </w:rPr>
        <w:footnoteReference w:id="3"/>
      </w:r>
      <w:r w:rsidRPr="0030680A">
        <w:rPr>
          <w:rFonts w:cs="Garamond"/>
          <w:b/>
          <w:sz w:val="24"/>
          <w:szCs w:val="24"/>
          <w:lang w:val="en-US"/>
        </w:rPr>
        <w:t xml:space="preserve"> and </w:t>
      </w:r>
      <w:r w:rsidRPr="0030680A">
        <w:rPr>
          <w:rFonts w:cs="Garamond"/>
          <w:b/>
          <w:i/>
          <w:sz w:val="24"/>
          <w:szCs w:val="24"/>
          <w:lang w:val="en-US"/>
        </w:rPr>
        <w:t>H</w:t>
      </w:r>
      <w:r w:rsidRPr="0030680A">
        <w:rPr>
          <w:rStyle w:val="Funotenzeichen"/>
          <w:rFonts w:cs="Garamond"/>
          <w:b/>
          <w:sz w:val="24"/>
          <w:szCs w:val="24"/>
          <w:lang w:val="en-US"/>
        </w:rPr>
        <w:footnoteReference w:id="4"/>
      </w:r>
      <w:r w:rsidRPr="0030680A">
        <w:rPr>
          <w:rFonts w:cs="Garamond"/>
          <w:b/>
          <w:sz w:val="24"/>
          <w:szCs w:val="24"/>
          <w:lang w:val="en-US"/>
        </w:rPr>
        <w:t xml:space="preserve"> – both establishing that the courts of the Member State within the territory of which the insolvency proceedings were opened have jurisdiction to hear and determine an action which derives directly from those proceedings and which is closely connected with them that is brought against a defendant domiciled in a third state – result in an excessive extension of the scope of the EIR-R?</w:t>
      </w:r>
    </w:p>
    <w:p w14:paraId="4967C1BF" w14:textId="77777777" w:rsidR="00A857E7" w:rsidRDefault="00D92E65" w:rsidP="007837FC">
      <w:pPr>
        <w:pStyle w:val="Listenabsatz"/>
        <w:suppressAutoHyphens/>
        <w:spacing w:before="120" w:after="120"/>
        <w:ind w:left="851"/>
        <w:contextualSpacing w:val="0"/>
        <w:rPr>
          <w:rFonts w:cs="Garamond"/>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A857E7" w:rsidRPr="00016E69">
        <w:rPr>
          <w:rFonts w:cs="Garamond"/>
          <w:sz w:val="24"/>
          <w:szCs w:val="24"/>
          <w:lang w:val="en-US"/>
        </w:rPr>
        <w:t xml:space="preserve"> Yes. Please justify</w:t>
      </w:r>
      <w:r w:rsidR="00C729AE" w:rsidRPr="00016E69">
        <w:rPr>
          <w:rFonts w:cs="Garamond"/>
          <w:sz w:val="24"/>
          <w:szCs w:val="24"/>
          <w:lang w:val="en-US"/>
        </w:rPr>
        <w:t>.</w:t>
      </w:r>
      <w:r w:rsidR="00A857E7" w:rsidRPr="00016E69">
        <w:rPr>
          <w:rFonts w:cs="Garamond"/>
          <w:sz w:val="24"/>
          <w:szCs w:val="24"/>
          <w:lang w:val="en-US"/>
        </w:rPr>
        <w:t xml:space="preserve"> </w:t>
      </w:r>
    </w:p>
    <w:p w14:paraId="2C80A0CB" w14:textId="77777777" w:rsidR="00D92E65" w:rsidRPr="00D92E65" w:rsidRDefault="00D92E65" w:rsidP="00D92E65">
      <w:pPr>
        <w:pStyle w:val="Listenabsatz"/>
        <w:tabs>
          <w:tab w:val="left" w:pos="3225"/>
        </w:tabs>
        <w:spacing w:before="120" w:after="120" w:line="276" w:lineRule="auto"/>
        <w:ind w:left="851"/>
        <w:contextualSpacing w:val="0"/>
        <w:rPr>
          <w:rFonts w:cs="Garamond"/>
          <w:sz w:val="24"/>
          <w:szCs w:val="24"/>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5DA54E81" w14:textId="77777777" w:rsidR="00A857E7" w:rsidRDefault="00D92E65" w:rsidP="007837FC">
      <w:pPr>
        <w:pStyle w:val="Listenabsatz"/>
        <w:suppressAutoHyphens/>
        <w:spacing w:before="120" w:after="120"/>
        <w:ind w:left="851"/>
        <w:contextualSpacing w:val="0"/>
        <w:rPr>
          <w:rFonts w:cs="Garamond"/>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A857E7" w:rsidRPr="00016E69">
        <w:rPr>
          <w:rFonts w:cs="Garamond"/>
          <w:sz w:val="24"/>
          <w:szCs w:val="24"/>
          <w:lang w:val="en-US"/>
        </w:rPr>
        <w:t xml:space="preserve"> No. Please justify.</w:t>
      </w:r>
    </w:p>
    <w:p w14:paraId="29C1A500" w14:textId="77777777" w:rsidR="00D92E65" w:rsidRDefault="00D92E65" w:rsidP="00D92E65">
      <w:pPr>
        <w:pStyle w:val="Listenabsatz"/>
        <w:tabs>
          <w:tab w:val="left" w:pos="3225"/>
        </w:tabs>
        <w:spacing w:before="120" w:after="120" w:line="276" w:lineRule="auto"/>
        <w:ind w:left="851"/>
        <w:contextualSpacing w:val="0"/>
        <w:rPr>
          <w:rFonts w:cs="Garamond"/>
          <w:sz w:val="24"/>
          <w:szCs w:val="24"/>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04E3A754" w14:textId="77777777" w:rsidR="00063738" w:rsidRPr="00CD7CD8" w:rsidRDefault="00063738" w:rsidP="00CD7CD8"/>
    <w:p w14:paraId="2C96E914" w14:textId="77777777" w:rsidR="000B28E2" w:rsidRPr="000B28E2" w:rsidRDefault="000B28E2" w:rsidP="000B28E2">
      <w:pPr>
        <w:rPr>
          <w:lang w:val="en-GB"/>
        </w:rPr>
      </w:pPr>
    </w:p>
    <w:p w14:paraId="34787A82" w14:textId="77777777" w:rsidR="006D12B2" w:rsidRPr="00B27F83" w:rsidRDefault="0030680A" w:rsidP="00CD7CD8">
      <w:pPr>
        <w:pStyle w:val="berschrift2"/>
      </w:pPr>
      <w:r w:rsidRPr="00B27F83">
        <w:t>B</w:t>
      </w:r>
      <w:r w:rsidR="00A857E7" w:rsidRPr="00B27F83">
        <w:t>.</w:t>
      </w:r>
      <w:r w:rsidR="00DD18AC">
        <w:t xml:space="preserve"> </w:t>
      </w:r>
      <w:r w:rsidR="00B946AE" w:rsidRPr="00B27F83">
        <w:t xml:space="preserve">The Relationship between Article 1 </w:t>
      </w:r>
      <w:r w:rsidR="00484236" w:rsidRPr="00B27F83">
        <w:t xml:space="preserve">(1) </w:t>
      </w:r>
      <w:r w:rsidR="00B946AE" w:rsidRPr="00B27F83">
        <w:t xml:space="preserve">EIR and </w:t>
      </w:r>
      <w:r w:rsidR="006D12B2" w:rsidRPr="00B27F83">
        <w:t>Annex A</w:t>
      </w:r>
    </w:p>
    <w:p w14:paraId="0D00A9B1" w14:textId="77777777" w:rsidR="00A857E7" w:rsidRPr="0030680A" w:rsidRDefault="0030680A" w:rsidP="00CD7CD8">
      <w:pPr>
        <w:pStyle w:val="berschrift3"/>
      </w:pPr>
      <w:r w:rsidRPr="0030680A">
        <w:t>I</w:t>
      </w:r>
      <w:r w:rsidR="00A857E7" w:rsidRPr="0030680A">
        <w:t>. Reform</w:t>
      </w:r>
    </w:p>
    <w:p w14:paraId="6D7AA452" w14:textId="77777777" w:rsidR="006D12B2" w:rsidRPr="00AA6D5E" w:rsidRDefault="00484236" w:rsidP="007837FC">
      <w:pPr>
        <w:spacing w:before="120" w:after="120"/>
        <w:jc w:val="both"/>
        <w:rPr>
          <w:rFonts w:ascii="Garamond" w:hAnsi="Garamond"/>
          <w:sz w:val="24"/>
          <w:szCs w:val="24"/>
          <w:lang w:val="en-GB"/>
        </w:rPr>
      </w:pPr>
      <w:r w:rsidRPr="00016E69">
        <w:rPr>
          <w:rFonts w:ascii="Garamond" w:hAnsi="Garamond"/>
          <w:sz w:val="24"/>
          <w:szCs w:val="24"/>
          <w:lang w:val="en-GB"/>
        </w:rPr>
        <w:t>Although Article 1 (1) EIR</w:t>
      </w:r>
      <w:r w:rsidR="00A52B15" w:rsidRPr="00016E69">
        <w:rPr>
          <w:rFonts w:ascii="Garamond" w:hAnsi="Garamond"/>
          <w:sz w:val="24"/>
          <w:szCs w:val="24"/>
          <w:lang w:val="en-GB"/>
        </w:rPr>
        <w:t>-R</w:t>
      </w:r>
      <w:r w:rsidRPr="00016E69">
        <w:rPr>
          <w:rFonts w:ascii="Garamond" w:hAnsi="Garamond"/>
          <w:sz w:val="24"/>
          <w:szCs w:val="24"/>
          <w:lang w:val="en-GB"/>
        </w:rPr>
        <w:t xml:space="preserve"> provides for a large definition (and description) of the proceedings falling within the scope of the EIR</w:t>
      </w:r>
      <w:r w:rsidR="00A52B15" w:rsidRPr="00016E69">
        <w:rPr>
          <w:rFonts w:ascii="Garamond" w:hAnsi="Garamond"/>
          <w:sz w:val="24"/>
          <w:szCs w:val="24"/>
          <w:lang w:val="en-GB"/>
        </w:rPr>
        <w:t>-R</w:t>
      </w:r>
      <w:r w:rsidRPr="00016E69">
        <w:rPr>
          <w:rFonts w:ascii="Garamond" w:hAnsi="Garamond"/>
          <w:sz w:val="24"/>
          <w:szCs w:val="24"/>
          <w:lang w:val="en-GB"/>
        </w:rPr>
        <w:t xml:space="preserve">, the most important provision is found in the second sentence of this paragraph: </w:t>
      </w:r>
      <w:r w:rsidR="00F14351" w:rsidRPr="00016E69">
        <w:rPr>
          <w:rFonts w:ascii="Garamond" w:hAnsi="Garamond"/>
          <w:sz w:val="24"/>
          <w:szCs w:val="24"/>
          <w:lang w:val="en-GB"/>
        </w:rPr>
        <w:t>“</w:t>
      </w:r>
      <w:r w:rsidR="006D12B2" w:rsidRPr="00016E69">
        <w:rPr>
          <w:rFonts w:ascii="Garamond" w:hAnsi="Garamond"/>
          <w:sz w:val="24"/>
          <w:szCs w:val="24"/>
          <w:lang w:val="en-GB"/>
        </w:rPr>
        <w:t xml:space="preserve">The proceedings covered by the EIR-R </w:t>
      </w:r>
      <w:r w:rsidRPr="00016E69">
        <w:rPr>
          <w:rFonts w:ascii="Garamond" w:hAnsi="Garamond"/>
          <w:sz w:val="24"/>
          <w:szCs w:val="24"/>
          <w:lang w:val="en-GB"/>
        </w:rPr>
        <w:t xml:space="preserve">are only those </w:t>
      </w:r>
      <w:r w:rsidR="006D12B2" w:rsidRPr="00016E69">
        <w:rPr>
          <w:rFonts w:ascii="Garamond" w:hAnsi="Garamond"/>
          <w:sz w:val="24"/>
          <w:szCs w:val="24"/>
          <w:lang w:val="en-GB"/>
        </w:rPr>
        <w:t>listed in Annex A</w:t>
      </w:r>
      <w:r w:rsidR="00F14351" w:rsidRPr="00016E69">
        <w:rPr>
          <w:rFonts w:ascii="Garamond" w:hAnsi="Garamond"/>
          <w:sz w:val="24"/>
          <w:szCs w:val="24"/>
          <w:lang w:val="en-GB"/>
        </w:rPr>
        <w:t>”</w:t>
      </w:r>
      <w:r w:rsidR="001F3C99" w:rsidRPr="00016E69">
        <w:rPr>
          <w:rFonts w:ascii="Garamond" w:hAnsi="Garamond"/>
          <w:sz w:val="24"/>
          <w:szCs w:val="24"/>
          <w:lang w:val="en-GB"/>
        </w:rPr>
        <w:t>. Member States should provide the EU</w:t>
      </w:r>
      <w:r w:rsidR="006D12B2" w:rsidRPr="00016E69">
        <w:rPr>
          <w:rFonts w:ascii="Garamond" w:hAnsi="Garamond"/>
          <w:sz w:val="24"/>
          <w:szCs w:val="24"/>
          <w:lang w:val="en-GB"/>
        </w:rPr>
        <w:t xml:space="preserve"> Commission</w:t>
      </w:r>
      <w:r w:rsidR="001F3C99" w:rsidRPr="00016E69">
        <w:rPr>
          <w:rFonts w:ascii="Garamond" w:hAnsi="Garamond"/>
          <w:sz w:val="24"/>
          <w:szCs w:val="24"/>
          <w:lang w:val="en-GB"/>
        </w:rPr>
        <w:t xml:space="preserve"> with all necessary information. </w:t>
      </w:r>
      <w:r w:rsidR="006D12B2" w:rsidRPr="00016E69">
        <w:rPr>
          <w:rFonts w:ascii="Garamond" w:hAnsi="Garamond"/>
          <w:sz w:val="24"/>
          <w:szCs w:val="24"/>
          <w:lang w:val="en-GB"/>
        </w:rPr>
        <w:t xml:space="preserve">In respect of the procedures listed in Annex A, the Regulation </w:t>
      </w:r>
      <w:r w:rsidR="003269DF">
        <w:rPr>
          <w:rFonts w:ascii="Garamond" w:hAnsi="Garamond"/>
          <w:sz w:val="24"/>
          <w:szCs w:val="24"/>
          <w:lang w:val="en-GB"/>
        </w:rPr>
        <w:t>“</w:t>
      </w:r>
      <w:r w:rsidR="006D12B2" w:rsidRPr="00016E69">
        <w:rPr>
          <w:rFonts w:ascii="Garamond" w:hAnsi="Garamond"/>
          <w:sz w:val="24"/>
          <w:szCs w:val="24"/>
          <w:lang w:val="en-GB"/>
        </w:rPr>
        <w:t>should apply without any further examination by the courts of another Member State as to whether the conditions set out in this Regulation are met</w:t>
      </w:r>
      <w:r w:rsidR="003269DF">
        <w:rPr>
          <w:rFonts w:ascii="Garamond" w:hAnsi="Garamond"/>
          <w:sz w:val="24"/>
          <w:szCs w:val="24"/>
          <w:lang w:val="en-GB"/>
        </w:rPr>
        <w:t>”</w:t>
      </w:r>
      <w:r w:rsidR="006D12B2" w:rsidRPr="00016E69">
        <w:rPr>
          <w:rFonts w:ascii="Garamond" w:hAnsi="Garamond"/>
          <w:sz w:val="24"/>
          <w:szCs w:val="24"/>
          <w:lang w:val="en-GB"/>
        </w:rPr>
        <w:t>.</w:t>
      </w:r>
      <w:r w:rsidRPr="00016E69">
        <w:rPr>
          <w:rFonts w:ascii="Garamond" w:hAnsi="Garamond"/>
          <w:sz w:val="24"/>
          <w:szCs w:val="24"/>
          <w:lang w:val="en-GB"/>
        </w:rPr>
        <w:t xml:space="preserve"> At first sight, Article 1(1) EIR-R incorporates the </w:t>
      </w:r>
      <w:r w:rsidRPr="00016E69">
        <w:rPr>
          <w:rFonts w:ascii="Garamond" w:hAnsi="Garamond"/>
          <w:i/>
          <w:sz w:val="24"/>
          <w:szCs w:val="24"/>
          <w:lang w:val="en-GB"/>
        </w:rPr>
        <w:t>Radziejewski and Bank Handlowy</w:t>
      </w:r>
      <w:r w:rsidRPr="00016E69">
        <w:rPr>
          <w:rFonts w:ascii="Garamond" w:hAnsi="Garamond"/>
          <w:sz w:val="24"/>
          <w:szCs w:val="24"/>
          <w:vertAlign w:val="superscript"/>
          <w:lang w:val="en-GB"/>
        </w:rPr>
        <w:footnoteReference w:id="5"/>
      </w:r>
      <w:r w:rsidRPr="00016E69">
        <w:rPr>
          <w:rFonts w:ascii="Garamond" w:hAnsi="Garamond"/>
          <w:sz w:val="24"/>
          <w:szCs w:val="24"/>
          <w:lang w:val="en-GB"/>
        </w:rPr>
        <w:t xml:space="preserve"> judgment of the CJEU. However, the reference to </w:t>
      </w:r>
      <w:proofErr w:type="gramStart"/>
      <w:r w:rsidRPr="00016E69">
        <w:rPr>
          <w:rFonts w:ascii="Garamond" w:hAnsi="Garamond"/>
          <w:sz w:val="24"/>
          <w:szCs w:val="24"/>
          <w:lang w:val="en-GB"/>
        </w:rPr>
        <w:t>Annex</w:t>
      </w:r>
      <w:proofErr w:type="gramEnd"/>
      <w:r w:rsidRPr="00016E69">
        <w:rPr>
          <w:rFonts w:ascii="Garamond" w:hAnsi="Garamond"/>
          <w:sz w:val="24"/>
          <w:szCs w:val="24"/>
          <w:lang w:val="en-GB"/>
        </w:rPr>
        <w:t xml:space="preserve"> A give the Member States a </w:t>
      </w:r>
      <w:r w:rsidRPr="00016E69">
        <w:rPr>
          <w:rFonts w:ascii="Garamond" w:hAnsi="Garamond"/>
          <w:sz w:val="24"/>
          <w:szCs w:val="24"/>
          <w:lang w:val="en-GB"/>
        </w:rPr>
        <w:lastRenderedPageBreak/>
        <w:t xml:space="preserve">freedom to decide whether and to what extent national restructuring proceedings will be covered by the Regulation. </w:t>
      </w:r>
    </w:p>
    <w:p w14:paraId="14FEC066" w14:textId="77777777" w:rsidR="00E845A6" w:rsidRPr="00CD7CD8" w:rsidRDefault="00E845A6" w:rsidP="00CD7CD8"/>
    <w:p w14:paraId="0C27BE08" w14:textId="77777777" w:rsidR="00063738" w:rsidRPr="0030680A" w:rsidRDefault="0030680A" w:rsidP="00CD7CD8">
      <w:pPr>
        <w:pStyle w:val="berschrift3"/>
        <w:rPr>
          <w:b/>
        </w:rPr>
      </w:pPr>
      <w:r w:rsidRPr="0030680A">
        <w:t>II</w:t>
      </w:r>
      <w:proofErr w:type="gramStart"/>
      <w:r w:rsidR="00BE52EF">
        <w:t xml:space="preserve">.  </w:t>
      </w:r>
      <w:r w:rsidR="00A857E7" w:rsidRPr="0030680A">
        <w:t>Questions</w:t>
      </w:r>
      <w:proofErr w:type="gramEnd"/>
    </w:p>
    <w:p w14:paraId="6BB1FC7D" w14:textId="77777777" w:rsidR="00A857E7" w:rsidRPr="00016E69" w:rsidRDefault="00116FEE" w:rsidP="00116FEE">
      <w:pPr>
        <w:pStyle w:val="Listenabsatz"/>
        <w:numPr>
          <w:ilvl w:val="3"/>
          <w:numId w:val="2"/>
        </w:numPr>
        <w:suppressAutoHyphens/>
        <w:spacing w:before="120" w:after="120"/>
        <w:contextualSpacing w:val="0"/>
        <w:rPr>
          <w:rFonts w:cs="Garamond"/>
          <w:b/>
          <w:sz w:val="24"/>
          <w:szCs w:val="24"/>
          <w:lang w:val="en-US"/>
        </w:rPr>
      </w:pPr>
      <w:r>
        <w:rPr>
          <w:rFonts w:cs="Garamond"/>
          <w:b/>
          <w:sz w:val="24"/>
          <w:szCs w:val="24"/>
          <w:lang w:val="en-US"/>
        </w:rPr>
        <w:t xml:space="preserve"> </w:t>
      </w:r>
      <w:r w:rsidR="00A857E7" w:rsidRPr="00F13D4B">
        <w:rPr>
          <w:rFonts w:cs="Garamond"/>
          <w:b/>
          <w:sz w:val="24"/>
          <w:szCs w:val="24"/>
          <w:lang w:val="en-US"/>
        </w:rPr>
        <w:t>Does the “Annex-approach” make</w:t>
      </w:r>
      <w:r w:rsidR="00A857E7" w:rsidRPr="00016E69">
        <w:rPr>
          <w:rFonts w:cs="Garamond"/>
          <w:b/>
          <w:sz w:val="24"/>
          <w:szCs w:val="24"/>
          <w:lang w:val="en-US"/>
        </w:rPr>
        <w:t xml:space="preserve"> the new Article 1 EIR-R redundant?</w:t>
      </w:r>
    </w:p>
    <w:p w14:paraId="26304178" w14:textId="77777777" w:rsidR="00A857E7" w:rsidRPr="00016E69" w:rsidRDefault="00D92E65" w:rsidP="007837FC">
      <w:pPr>
        <w:pStyle w:val="Listenabsatz"/>
        <w:tabs>
          <w:tab w:val="left" w:pos="4309"/>
        </w:tabs>
        <w:spacing w:before="120" w:after="120" w:line="276" w:lineRule="auto"/>
        <w:ind w:left="851"/>
        <w:contextualSpacing w:val="0"/>
        <w:rPr>
          <w:rFonts w:cs="Garamond"/>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A857E7" w:rsidRPr="00016E69">
        <w:rPr>
          <w:rFonts w:cs="Garamond"/>
          <w:sz w:val="24"/>
          <w:szCs w:val="24"/>
          <w:lang w:val="en-US"/>
        </w:rPr>
        <w:t xml:space="preserve"> Yes.</w:t>
      </w:r>
      <w:r w:rsidR="00A857E7" w:rsidRPr="00016E69">
        <w:rPr>
          <w:rFonts w:cs="Garamond"/>
          <w:sz w:val="24"/>
          <w:szCs w:val="24"/>
          <w:lang w:val="en-US"/>
        </w:rPr>
        <w:tab/>
      </w:r>
    </w:p>
    <w:p w14:paraId="244C6E63" w14:textId="77777777" w:rsidR="00A857E7" w:rsidRPr="00016E69" w:rsidRDefault="00D92E65" w:rsidP="007837FC">
      <w:pPr>
        <w:pStyle w:val="Listenabsatz"/>
        <w:spacing w:before="120" w:after="120" w:line="276" w:lineRule="auto"/>
        <w:ind w:left="851"/>
        <w:contextualSpacing w:val="0"/>
        <w:rPr>
          <w:rFonts w:cs="Garamond"/>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A857E7" w:rsidRPr="00016E69">
        <w:rPr>
          <w:rFonts w:cs="Garamond"/>
          <w:sz w:val="24"/>
          <w:szCs w:val="24"/>
          <w:lang w:val="en-US"/>
        </w:rPr>
        <w:t xml:space="preserve"> No. Art. 1 can still play a role as a blueprint that should be taken into account when deciding on the proceedings to be included in Annex A.</w:t>
      </w:r>
    </w:p>
    <w:p w14:paraId="2333A4FB" w14:textId="720FBE2E" w:rsidR="00116FEE" w:rsidRPr="00016E69" w:rsidRDefault="00D92E65" w:rsidP="007837FC">
      <w:pPr>
        <w:pStyle w:val="Listenabsatz"/>
        <w:spacing w:before="120" w:after="120" w:line="276" w:lineRule="auto"/>
        <w:ind w:left="851"/>
        <w:contextualSpacing w:val="0"/>
        <w:rPr>
          <w:rFonts w:cs="Garamond"/>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A857E7" w:rsidRPr="00016E69">
        <w:rPr>
          <w:rFonts w:cs="Garamond"/>
          <w:sz w:val="24"/>
          <w:szCs w:val="24"/>
          <w:lang w:val="en-US"/>
        </w:rPr>
        <w:t xml:space="preserve"> No. Despite the straightforward provisions of the new EIR-R as to the exhaustive nature of Annex A, it should be desirable that the EIR-R encompasses also proceedings not listed in Annex A, where the conditions set out in Article 1 EIR-R are met (with particular reference to proceedings which are going to be introduced in the national legislations, given the length of the new legislative procedure of amendment of the Annexes).</w:t>
      </w:r>
    </w:p>
    <w:p w14:paraId="0F4D02EF" w14:textId="77777777" w:rsidR="00D92E65" w:rsidRDefault="0058599B" w:rsidP="00D92E65">
      <w:pPr>
        <w:pStyle w:val="Listenabsatz"/>
        <w:tabs>
          <w:tab w:val="left" w:pos="3225"/>
        </w:tabs>
        <w:spacing w:before="120" w:after="120" w:line="276" w:lineRule="auto"/>
        <w:ind w:left="851"/>
        <w:contextualSpacing w:val="0"/>
        <w:rPr>
          <w:rFonts w:cs="Garamond"/>
          <w:sz w:val="24"/>
          <w:szCs w:val="24"/>
        </w:rPr>
      </w:pPr>
      <w:r w:rsidRPr="00B07777">
        <w:rPr>
          <w:noProof/>
          <w:lang w:eastAsia="de-DE"/>
        </w:rPr>
        <w:drawing>
          <wp:anchor distT="0" distB="0" distL="114300" distR="114300" simplePos="0" relativeHeight="251663360" behindDoc="1" locked="0" layoutInCell="1" allowOverlap="1" wp14:anchorId="3832011E" wp14:editId="7161B775">
            <wp:simplePos x="0" y="0"/>
            <wp:positionH relativeFrom="page">
              <wp:posOffset>2919095</wp:posOffset>
            </wp:positionH>
            <wp:positionV relativeFrom="page">
              <wp:posOffset>10810875</wp:posOffset>
            </wp:positionV>
            <wp:extent cx="4065270" cy="14509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5270" cy="1450975"/>
                    </a:xfrm>
                    <a:prstGeom prst="rect">
                      <a:avLst/>
                    </a:prstGeom>
                    <a:noFill/>
                  </pic:spPr>
                </pic:pic>
              </a:graphicData>
            </a:graphic>
            <wp14:sizeRelH relativeFrom="page">
              <wp14:pctWidth>0</wp14:pctWidth>
            </wp14:sizeRelH>
            <wp14:sizeRelV relativeFrom="page">
              <wp14:pctHeight>0</wp14:pctHeight>
            </wp14:sizeRelV>
          </wp:anchor>
        </w:drawing>
      </w:r>
      <w:r w:rsidR="00D92E65">
        <w:rPr>
          <w:rFonts w:cs="Garamond"/>
          <w:sz w:val="24"/>
          <w:szCs w:val="24"/>
        </w:rPr>
        <w:fldChar w:fldCharType="begin">
          <w:ffData>
            <w:name w:val="Check1"/>
            <w:enabled/>
            <w:calcOnExit w:val="0"/>
            <w:checkBox>
              <w:sizeAuto/>
              <w:default w:val="0"/>
            </w:checkBox>
          </w:ffData>
        </w:fldChar>
      </w:r>
      <w:r w:rsidR="00D92E65" w:rsidRPr="00D92E65">
        <w:rPr>
          <w:rFonts w:cs="Garamond"/>
          <w:sz w:val="24"/>
          <w:szCs w:val="24"/>
          <w:lang w:val="en-US"/>
        </w:rPr>
        <w:instrText xml:space="preserve"> FORMCHECKBOX </w:instrText>
      </w:r>
      <w:r w:rsidR="00D92E65">
        <w:rPr>
          <w:rFonts w:cs="Garamond"/>
          <w:sz w:val="24"/>
          <w:szCs w:val="24"/>
        </w:rPr>
      </w:r>
      <w:r w:rsidR="00D92E65">
        <w:rPr>
          <w:rFonts w:cs="Garamond"/>
          <w:sz w:val="24"/>
          <w:szCs w:val="24"/>
        </w:rPr>
        <w:fldChar w:fldCharType="end"/>
      </w:r>
      <w:r w:rsidR="00A857E7" w:rsidRPr="00B07777">
        <w:rPr>
          <w:rFonts w:cs="Garamond"/>
          <w:sz w:val="24"/>
          <w:szCs w:val="24"/>
          <w:lang w:val="en-US"/>
        </w:rPr>
        <w:t xml:space="preserve"> </w:t>
      </w:r>
      <w:proofErr w:type="gramStart"/>
      <w:r w:rsidR="00A857E7" w:rsidRPr="00B07777">
        <w:rPr>
          <w:rFonts w:cs="Garamond"/>
          <w:sz w:val="24"/>
          <w:szCs w:val="24"/>
          <w:lang w:val="en-US"/>
        </w:rPr>
        <w:t>Other</w:t>
      </w:r>
      <w:r w:rsidR="00807B1B" w:rsidRPr="00F13D4B">
        <w:rPr>
          <w:rFonts w:cs="Garamond"/>
          <w:sz w:val="24"/>
          <w:szCs w:val="24"/>
          <w:lang w:val="en-US"/>
        </w:rPr>
        <w:t>.</w:t>
      </w:r>
      <w:proofErr w:type="gramEnd"/>
      <w:r w:rsidR="00D92E65" w:rsidRPr="00D92E65">
        <w:rPr>
          <w:rFonts w:cs="Garamond"/>
          <w:sz w:val="24"/>
          <w:szCs w:val="24"/>
        </w:rPr>
        <w:t xml:space="preserve"> </w:t>
      </w:r>
    </w:p>
    <w:p w14:paraId="187644D2" w14:textId="77777777" w:rsidR="00D92E65" w:rsidRDefault="00D92E65" w:rsidP="00D92E65">
      <w:pPr>
        <w:pStyle w:val="Listenabsatz"/>
        <w:tabs>
          <w:tab w:val="left" w:pos="3225"/>
        </w:tabs>
        <w:spacing w:before="120" w:after="120" w:line="276" w:lineRule="auto"/>
        <w:ind w:left="851"/>
        <w:contextualSpacing w:val="0"/>
        <w:rPr>
          <w:rFonts w:cs="Garamond"/>
          <w:sz w:val="24"/>
          <w:szCs w:val="24"/>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0C3AF666" w14:textId="77777777" w:rsidR="000559DF" w:rsidRDefault="000559DF" w:rsidP="00D92E65">
      <w:pPr>
        <w:pStyle w:val="Listenabsatz"/>
        <w:tabs>
          <w:tab w:val="left" w:pos="3225"/>
        </w:tabs>
        <w:spacing w:before="120" w:after="120" w:line="276" w:lineRule="auto"/>
        <w:ind w:left="851"/>
        <w:contextualSpacing w:val="0"/>
        <w:rPr>
          <w:rFonts w:cs="Garamond"/>
          <w:sz w:val="24"/>
          <w:szCs w:val="24"/>
        </w:rPr>
      </w:pPr>
    </w:p>
    <w:p w14:paraId="4D0B4CD1" w14:textId="77777777" w:rsidR="00A857E7" w:rsidRPr="00116FEE" w:rsidRDefault="00F3503F" w:rsidP="00116FEE">
      <w:pPr>
        <w:pStyle w:val="Listenabsatz"/>
        <w:numPr>
          <w:ilvl w:val="3"/>
          <w:numId w:val="2"/>
        </w:numPr>
        <w:suppressAutoHyphens/>
        <w:spacing w:before="120" w:after="120"/>
        <w:contextualSpacing w:val="0"/>
        <w:rPr>
          <w:rFonts w:cs="Garamond"/>
          <w:b/>
          <w:sz w:val="24"/>
          <w:szCs w:val="24"/>
          <w:lang w:val="en-US"/>
        </w:rPr>
      </w:pPr>
      <w:r>
        <w:rPr>
          <w:rFonts w:cs="Garamond"/>
          <w:b/>
          <w:sz w:val="24"/>
          <w:szCs w:val="24"/>
          <w:lang w:val="en-US"/>
        </w:rPr>
        <w:t>If Article 1 should be considered as a substantive provision</w:t>
      </w:r>
      <w:r w:rsidR="00A857E7" w:rsidRPr="00116FEE">
        <w:rPr>
          <w:rFonts w:cs="Garamond"/>
          <w:b/>
          <w:sz w:val="24"/>
          <w:szCs w:val="24"/>
          <w:lang w:val="en-US"/>
        </w:rPr>
        <w:t xml:space="preserve">, what is the role of Annex A? Please specify. </w:t>
      </w:r>
    </w:p>
    <w:p w14:paraId="458EDCBF" w14:textId="77777777" w:rsidR="00D92E65" w:rsidRDefault="00D92E65" w:rsidP="00D92E65">
      <w:pPr>
        <w:pStyle w:val="Listenabsatz"/>
        <w:tabs>
          <w:tab w:val="left" w:pos="3225"/>
        </w:tabs>
        <w:spacing w:before="120" w:after="120" w:line="276" w:lineRule="auto"/>
        <w:ind w:left="360"/>
        <w:contextualSpacing w:val="0"/>
        <w:rPr>
          <w:rFonts w:cs="Garamond"/>
          <w:sz w:val="24"/>
          <w:szCs w:val="24"/>
        </w:rPr>
      </w:pPr>
      <w:r w:rsidRPr="00116FEE">
        <w:rPr>
          <w:rFonts w:cs="Garamond"/>
          <w:sz w:val="24"/>
          <w:szCs w:val="24"/>
        </w:rPr>
        <w:fldChar w:fldCharType="begin">
          <w:ffData>
            <w:name w:val="Text1"/>
            <w:enabled/>
            <w:calcOnExit w:val="0"/>
            <w:textInput/>
          </w:ffData>
        </w:fldChar>
      </w:r>
      <w:r w:rsidRPr="00116FEE">
        <w:rPr>
          <w:rFonts w:cs="Garamond"/>
          <w:sz w:val="24"/>
          <w:szCs w:val="24"/>
        </w:rPr>
        <w:instrText xml:space="preserve"> FORMTEXT </w:instrText>
      </w:r>
      <w:r w:rsidRPr="00116FEE">
        <w:rPr>
          <w:rFonts w:cs="Garamond"/>
          <w:sz w:val="24"/>
          <w:szCs w:val="24"/>
        </w:rPr>
      </w:r>
      <w:r w:rsidRPr="00116FEE">
        <w:rPr>
          <w:rFonts w:cs="Garamond"/>
          <w:sz w:val="24"/>
          <w:szCs w:val="24"/>
        </w:rPr>
        <w:fldChar w:fldCharType="separate"/>
      </w:r>
      <w:r w:rsidRPr="00116FEE">
        <w:rPr>
          <w:rFonts w:cs="Garamond"/>
          <w:noProof/>
          <w:sz w:val="24"/>
          <w:szCs w:val="24"/>
        </w:rPr>
        <w:t> </w:t>
      </w:r>
      <w:r w:rsidRPr="00116FEE">
        <w:rPr>
          <w:rFonts w:cs="Garamond"/>
          <w:noProof/>
          <w:sz w:val="24"/>
          <w:szCs w:val="24"/>
        </w:rPr>
        <w:t> </w:t>
      </w:r>
      <w:r w:rsidRPr="00116FEE">
        <w:rPr>
          <w:rFonts w:cs="Garamond"/>
          <w:noProof/>
          <w:sz w:val="24"/>
          <w:szCs w:val="24"/>
        </w:rPr>
        <w:t> </w:t>
      </w:r>
      <w:r w:rsidRPr="00116FEE">
        <w:rPr>
          <w:rFonts w:cs="Garamond"/>
          <w:noProof/>
          <w:sz w:val="24"/>
          <w:szCs w:val="24"/>
        </w:rPr>
        <w:t> </w:t>
      </w:r>
      <w:r w:rsidRPr="00116FEE">
        <w:rPr>
          <w:rFonts w:cs="Garamond"/>
          <w:noProof/>
          <w:sz w:val="24"/>
          <w:szCs w:val="24"/>
        </w:rPr>
        <w:t> </w:t>
      </w:r>
      <w:r w:rsidRPr="00116FEE">
        <w:rPr>
          <w:rFonts w:cs="Garamond"/>
          <w:sz w:val="24"/>
          <w:szCs w:val="24"/>
        </w:rPr>
        <w:fldChar w:fldCharType="end"/>
      </w:r>
    </w:p>
    <w:p w14:paraId="14B757AB" w14:textId="77777777" w:rsidR="00A857E7" w:rsidRDefault="00A857E7" w:rsidP="007837FC">
      <w:pPr>
        <w:spacing w:before="120" w:after="120"/>
        <w:rPr>
          <w:rFonts w:ascii="Garamond" w:hAnsi="Garamond"/>
          <w:lang w:val="en-GB"/>
        </w:rPr>
      </w:pPr>
    </w:p>
    <w:p w14:paraId="58AAEB26" w14:textId="77777777" w:rsidR="000B28E2" w:rsidRPr="00016E69" w:rsidRDefault="000B28E2" w:rsidP="007837FC">
      <w:pPr>
        <w:spacing w:before="120" w:after="120"/>
        <w:rPr>
          <w:rFonts w:ascii="Garamond" w:hAnsi="Garamond"/>
          <w:lang w:val="en-GB"/>
        </w:rPr>
      </w:pPr>
    </w:p>
    <w:p w14:paraId="300BFB34" w14:textId="77777777" w:rsidR="00537AAD" w:rsidRPr="00B27F83" w:rsidRDefault="000559DF" w:rsidP="00CD7CD8">
      <w:pPr>
        <w:pStyle w:val="berschrift2"/>
      </w:pPr>
      <w:r w:rsidRPr="00B27F83">
        <w:t>C</w:t>
      </w:r>
      <w:r w:rsidR="00537AAD" w:rsidRPr="00B27F83">
        <w:t>. The Delineation between the EIR-R and the</w:t>
      </w:r>
      <w:r w:rsidR="007D1571" w:rsidRPr="00B27F83">
        <w:t xml:space="preserve"> Brussels I</w:t>
      </w:r>
      <w:r w:rsidR="00890549" w:rsidRPr="00B27F83">
        <w:rPr>
          <w:vertAlign w:val="superscript"/>
        </w:rPr>
        <w:t>bis</w:t>
      </w:r>
      <w:r w:rsidR="00537AAD" w:rsidRPr="00B27F83">
        <w:t xml:space="preserve"> Regulation</w:t>
      </w:r>
      <w:r w:rsidR="007D1571" w:rsidRPr="00B27F83">
        <w:t xml:space="preserve"> (Recast)</w:t>
      </w:r>
    </w:p>
    <w:p w14:paraId="56B0D108" w14:textId="77777777" w:rsidR="00A857E7" w:rsidRPr="000559DF" w:rsidRDefault="007802EC" w:rsidP="007837FC">
      <w:pPr>
        <w:spacing w:before="120" w:after="120"/>
        <w:jc w:val="both"/>
        <w:rPr>
          <w:rFonts w:ascii="Garamond" w:hAnsi="Garamond"/>
          <w:i/>
          <w:sz w:val="28"/>
          <w:szCs w:val="24"/>
          <w:lang w:val="en-GB"/>
        </w:rPr>
      </w:pPr>
      <w:r>
        <w:rPr>
          <w:rFonts w:ascii="Garamond" w:hAnsi="Garamond"/>
          <w:i/>
          <w:sz w:val="28"/>
          <w:szCs w:val="24"/>
          <w:lang w:val="en-GB"/>
        </w:rPr>
        <w:t>I</w:t>
      </w:r>
      <w:r w:rsidR="00A857E7" w:rsidRPr="000559DF">
        <w:rPr>
          <w:rFonts w:ascii="Garamond" w:hAnsi="Garamond"/>
          <w:i/>
          <w:sz w:val="28"/>
          <w:szCs w:val="24"/>
          <w:lang w:val="en-GB"/>
        </w:rPr>
        <w:t>. Reform</w:t>
      </w:r>
    </w:p>
    <w:p w14:paraId="58500343" w14:textId="77777777" w:rsidR="00C729AE" w:rsidRPr="00016E69" w:rsidRDefault="00890549" w:rsidP="00C729AE">
      <w:pPr>
        <w:spacing w:before="120" w:after="120"/>
        <w:jc w:val="both"/>
        <w:rPr>
          <w:rFonts w:ascii="Garamond" w:hAnsi="Garamond"/>
          <w:sz w:val="24"/>
          <w:szCs w:val="24"/>
          <w:lang w:val="en-GB"/>
        </w:rPr>
      </w:pPr>
      <w:r w:rsidRPr="00016E69">
        <w:rPr>
          <w:rFonts w:ascii="Garamond" w:hAnsi="Garamond"/>
          <w:sz w:val="24"/>
          <w:szCs w:val="24"/>
          <w:lang w:val="en-GB"/>
        </w:rPr>
        <w:t>Two major problems have been identified</w:t>
      </w:r>
      <w:r w:rsidR="009B14C2" w:rsidRPr="00016E69">
        <w:rPr>
          <w:rFonts w:ascii="Garamond" w:hAnsi="Garamond"/>
          <w:sz w:val="24"/>
          <w:szCs w:val="24"/>
          <w:lang w:val="en-GB"/>
        </w:rPr>
        <w:t xml:space="preserve">. First, </w:t>
      </w:r>
      <w:r w:rsidR="00C51D02" w:rsidRPr="00016E69">
        <w:rPr>
          <w:rFonts w:ascii="Garamond" w:hAnsi="Garamond"/>
          <w:sz w:val="24"/>
          <w:szCs w:val="24"/>
          <w:lang w:val="en-GB"/>
        </w:rPr>
        <w:t>quite problematic is the delineation between the EIR-R and the Brussels I</w:t>
      </w:r>
      <w:r w:rsidR="00C51D02" w:rsidRPr="00016E69">
        <w:rPr>
          <w:rFonts w:ascii="Garamond" w:hAnsi="Garamond"/>
          <w:sz w:val="24"/>
          <w:szCs w:val="24"/>
          <w:vertAlign w:val="superscript"/>
          <w:lang w:val="en-GB"/>
        </w:rPr>
        <w:t>bis</w:t>
      </w:r>
      <w:r w:rsidR="00C51D02" w:rsidRPr="00016E69">
        <w:rPr>
          <w:rFonts w:ascii="Garamond" w:hAnsi="Garamond"/>
          <w:sz w:val="24"/>
          <w:szCs w:val="24"/>
          <w:lang w:val="en-GB"/>
        </w:rPr>
        <w:t xml:space="preserve"> bis Regulation in case of actions relating to the insolvency</w:t>
      </w:r>
      <w:r w:rsidRPr="00016E69">
        <w:rPr>
          <w:rFonts w:ascii="Garamond" w:hAnsi="Garamond"/>
          <w:sz w:val="24"/>
          <w:szCs w:val="24"/>
          <w:lang w:val="en-GB"/>
        </w:rPr>
        <w:t xml:space="preserve">. </w:t>
      </w:r>
      <w:r w:rsidR="009B14C2" w:rsidRPr="00016E69">
        <w:rPr>
          <w:rFonts w:ascii="Garamond" w:hAnsi="Garamond"/>
          <w:sz w:val="24"/>
          <w:szCs w:val="24"/>
          <w:lang w:val="en-GB"/>
        </w:rPr>
        <w:t xml:space="preserve">The recast of the EIR-R incorporates in Article 6 the CJEU judgments in </w:t>
      </w:r>
      <w:r w:rsidR="009B14C2" w:rsidRPr="00016E69">
        <w:rPr>
          <w:rFonts w:ascii="Garamond" w:hAnsi="Garamond"/>
          <w:i/>
          <w:sz w:val="24"/>
          <w:szCs w:val="24"/>
          <w:lang w:val="en-GB"/>
        </w:rPr>
        <w:t>Gourdain</w:t>
      </w:r>
      <w:r w:rsidR="009B14C2" w:rsidRPr="00016E69">
        <w:rPr>
          <w:rStyle w:val="Funotenzeichen"/>
          <w:rFonts w:ascii="Garamond" w:hAnsi="Garamond"/>
          <w:sz w:val="24"/>
          <w:szCs w:val="24"/>
          <w:lang w:val="en-GB"/>
        </w:rPr>
        <w:footnoteReference w:id="6"/>
      </w:r>
      <w:r w:rsidR="009B14C2" w:rsidRPr="00016E69">
        <w:rPr>
          <w:rFonts w:ascii="Garamond" w:hAnsi="Garamond"/>
          <w:sz w:val="24"/>
          <w:szCs w:val="24"/>
          <w:lang w:val="en-GB"/>
        </w:rPr>
        <w:t xml:space="preserve"> and </w:t>
      </w:r>
      <w:r w:rsidR="009B14C2" w:rsidRPr="00016E69">
        <w:rPr>
          <w:rFonts w:ascii="Garamond" w:hAnsi="Garamond"/>
          <w:i/>
          <w:sz w:val="24"/>
          <w:szCs w:val="24"/>
          <w:lang w:val="en-GB"/>
        </w:rPr>
        <w:t>Seagon</w:t>
      </w:r>
      <w:r w:rsidR="00C51D02" w:rsidRPr="00016E69">
        <w:rPr>
          <w:rFonts w:ascii="Garamond" w:hAnsi="Garamond"/>
          <w:sz w:val="24"/>
          <w:szCs w:val="24"/>
          <w:lang w:val="en-GB"/>
        </w:rPr>
        <w:t>:</w:t>
      </w:r>
      <w:r w:rsidR="009B14C2" w:rsidRPr="00016E69">
        <w:rPr>
          <w:rStyle w:val="Funotenzeichen"/>
          <w:rFonts w:ascii="Garamond" w:hAnsi="Garamond"/>
          <w:i/>
          <w:sz w:val="24"/>
          <w:szCs w:val="24"/>
          <w:lang w:val="en-GB"/>
        </w:rPr>
        <w:footnoteReference w:id="7"/>
      </w:r>
      <w:r w:rsidR="009B14C2" w:rsidRPr="00016E69">
        <w:rPr>
          <w:rFonts w:ascii="Garamond" w:hAnsi="Garamond"/>
          <w:sz w:val="24"/>
          <w:szCs w:val="24"/>
          <w:lang w:val="en-GB"/>
        </w:rPr>
        <w:t xml:space="preserve"> actions deriving directly from insolvency proceedings and closely linked with them fall within the scope of the EIR-R. In that respect, r</w:t>
      </w:r>
      <w:r w:rsidR="009B14C2" w:rsidRPr="00AA6D5E">
        <w:rPr>
          <w:rFonts w:ascii="Garamond" w:hAnsi="Garamond"/>
          <w:sz w:val="24"/>
          <w:szCs w:val="24"/>
          <w:lang w:val="en-GB"/>
        </w:rPr>
        <w:t xml:space="preserve">ecital 16 states that the regulation </w:t>
      </w:r>
      <w:r w:rsidR="00C51D02" w:rsidRPr="00B07777">
        <w:rPr>
          <w:rFonts w:ascii="Garamond" w:hAnsi="Garamond"/>
          <w:sz w:val="24"/>
          <w:szCs w:val="24"/>
          <w:lang w:val="en-GB"/>
        </w:rPr>
        <w:t>“</w:t>
      </w:r>
      <w:r w:rsidR="009B14C2" w:rsidRPr="00F13D4B">
        <w:rPr>
          <w:rFonts w:ascii="Garamond" w:hAnsi="Garamond"/>
          <w:sz w:val="24"/>
          <w:szCs w:val="24"/>
          <w:lang w:val="en-GB"/>
        </w:rPr>
        <w:t>should apply to proceedings which are based on laws relating to insolvency. However, proceedings that are based on general company law not designed exclusively for insolvency situations should not be considered to be based on laws relating to insolvency</w:t>
      </w:r>
      <w:r w:rsidR="00C51D02" w:rsidRPr="00016E69">
        <w:rPr>
          <w:rFonts w:ascii="Garamond" w:hAnsi="Garamond"/>
          <w:sz w:val="24"/>
          <w:szCs w:val="24"/>
          <w:lang w:val="en-GB"/>
        </w:rPr>
        <w:t>”</w:t>
      </w:r>
      <w:r w:rsidR="009B14C2" w:rsidRPr="00016E69">
        <w:rPr>
          <w:rFonts w:ascii="Garamond" w:hAnsi="Garamond"/>
          <w:sz w:val="24"/>
          <w:szCs w:val="24"/>
          <w:lang w:val="en-GB"/>
        </w:rPr>
        <w:t>. Sec</w:t>
      </w:r>
      <w:r w:rsidR="00C51D02" w:rsidRPr="00016E69">
        <w:rPr>
          <w:rFonts w:ascii="Garamond" w:hAnsi="Garamond"/>
          <w:sz w:val="24"/>
          <w:szCs w:val="24"/>
          <w:lang w:val="en-GB"/>
        </w:rPr>
        <w:t>ond, it is questionable</w:t>
      </w:r>
      <w:r w:rsidRPr="00016E69">
        <w:rPr>
          <w:rFonts w:ascii="Garamond" w:hAnsi="Garamond"/>
          <w:sz w:val="24"/>
          <w:szCs w:val="24"/>
          <w:lang w:val="en-GB"/>
        </w:rPr>
        <w:t xml:space="preserve"> whether and to what exte</w:t>
      </w:r>
      <w:r w:rsidR="00F14351" w:rsidRPr="00016E69">
        <w:rPr>
          <w:rFonts w:ascii="Garamond" w:hAnsi="Garamond"/>
          <w:sz w:val="24"/>
          <w:szCs w:val="24"/>
          <w:lang w:val="en-GB"/>
        </w:rPr>
        <w:t>n</w:t>
      </w:r>
      <w:r w:rsidRPr="00016E69">
        <w:rPr>
          <w:rFonts w:ascii="Garamond" w:hAnsi="Garamond"/>
          <w:sz w:val="24"/>
          <w:szCs w:val="24"/>
          <w:lang w:val="en-GB"/>
        </w:rPr>
        <w:t>t restructuring and pre-insolvency proceedings not mentioned in Annex A of the EIR</w:t>
      </w:r>
      <w:r w:rsidR="00A52B15" w:rsidRPr="00016E69">
        <w:rPr>
          <w:rFonts w:ascii="Garamond" w:hAnsi="Garamond"/>
          <w:sz w:val="24"/>
          <w:szCs w:val="24"/>
          <w:lang w:val="en-GB"/>
        </w:rPr>
        <w:t>-R</w:t>
      </w:r>
      <w:r w:rsidRPr="00016E69">
        <w:rPr>
          <w:rFonts w:ascii="Garamond" w:hAnsi="Garamond"/>
          <w:sz w:val="24"/>
          <w:szCs w:val="24"/>
          <w:lang w:val="en-GB"/>
        </w:rPr>
        <w:t xml:space="preserve"> may be subject to the Brussel I</w:t>
      </w:r>
      <w:r w:rsidRPr="00016E69">
        <w:rPr>
          <w:rFonts w:ascii="Garamond" w:hAnsi="Garamond"/>
          <w:sz w:val="24"/>
          <w:szCs w:val="24"/>
          <w:vertAlign w:val="superscript"/>
          <w:lang w:val="en-GB"/>
        </w:rPr>
        <w:t>bis</w:t>
      </w:r>
      <w:r w:rsidRPr="00016E69">
        <w:rPr>
          <w:rFonts w:ascii="Garamond" w:hAnsi="Garamond"/>
          <w:sz w:val="24"/>
          <w:szCs w:val="24"/>
          <w:lang w:val="en-GB"/>
        </w:rPr>
        <w:t xml:space="preserve"> Regulation.</w:t>
      </w:r>
      <w:r w:rsidR="00C729AE" w:rsidRPr="00016E69">
        <w:rPr>
          <w:rFonts w:ascii="Garamond" w:hAnsi="Garamond"/>
          <w:sz w:val="24"/>
          <w:szCs w:val="24"/>
          <w:lang w:val="en-GB"/>
        </w:rPr>
        <w:t xml:space="preserve"> Recital 7 states that “the interpretation of this Regulation </w:t>
      </w:r>
      <w:r w:rsidR="00C729AE" w:rsidRPr="00016E69">
        <w:rPr>
          <w:rFonts w:ascii="Garamond" w:hAnsi="Garamond"/>
          <w:sz w:val="24"/>
          <w:szCs w:val="24"/>
          <w:lang w:val="en-GB"/>
        </w:rPr>
        <w:lastRenderedPageBreak/>
        <w:t xml:space="preserve">should as much as possible avoid regulatory loopholes between the two instruments. However, the mere fact that a national procedure is not listed in Annex A to this Regulation should not imply that it is covered by Regulation (EU) No 1215/2012”. </w:t>
      </w:r>
    </w:p>
    <w:p w14:paraId="1099F5A3" w14:textId="77777777" w:rsidR="002C6D9A" w:rsidRPr="00016E69" w:rsidRDefault="002C6D9A" w:rsidP="007837FC">
      <w:pPr>
        <w:spacing w:before="120" w:after="120"/>
        <w:jc w:val="both"/>
        <w:rPr>
          <w:rFonts w:ascii="Garamond" w:hAnsi="Garamond"/>
          <w:sz w:val="24"/>
          <w:szCs w:val="24"/>
          <w:lang w:val="en-GB"/>
        </w:rPr>
      </w:pPr>
    </w:p>
    <w:p w14:paraId="7D712EF3" w14:textId="77777777" w:rsidR="00A857E7" w:rsidRPr="00D46FAA" w:rsidRDefault="007802EC" w:rsidP="007837FC">
      <w:pPr>
        <w:spacing w:before="120" w:after="120"/>
        <w:jc w:val="both"/>
        <w:rPr>
          <w:rFonts w:ascii="Garamond" w:hAnsi="Garamond"/>
          <w:i/>
          <w:sz w:val="28"/>
          <w:szCs w:val="24"/>
          <w:lang w:val="en-GB"/>
        </w:rPr>
      </w:pPr>
      <w:r>
        <w:rPr>
          <w:rFonts w:ascii="Garamond" w:hAnsi="Garamond"/>
          <w:i/>
          <w:sz w:val="28"/>
          <w:szCs w:val="24"/>
          <w:lang w:val="en-GB"/>
        </w:rPr>
        <w:t>II</w:t>
      </w:r>
      <w:r w:rsidR="00A857E7" w:rsidRPr="00D46FAA">
        <w:rPr>
          <w:rFonts w:ascii="Garamond" w:hAnsi="Garamond"/>
          <w:i/>
          <w:sz w:val="28"/>
          <w:szCs w:val="24"/>
          <w:lang w:val="en-GB"/>
        </w:rPr>
        <w:t>. Questions</w:t>
      </w:r>
    </w:p>
    <w:p w14:paraId="7A231E14" w14:textId="77777777" w:rsidR="00A3432A" w:rsidRPr="00016E69" w:rsidRDefault="00911730" w:rsidP="001F1860">
      <w:pPr>
        <w:pStyle w:val="Listenabsatz"/>
        <w:numPr>
          <w:ilvl w:val="0"/>
          <w:numId w:val="34"/>
        </w:numPr>
        <w:spacing w:before="120" w:after="120"/>
        <w:contextualSpacing w:val="0"/>
        <w:rPr>
          <w:rFonts w:cs="Garamond"/>
          <w:b/>
          <w:sz w:val="24"/>
          <w:szCs w:val="24"/>
          <w:lang w:val="en-US"/>
        </w:rPr>
      </w:pPr>
      <w:r w:rsidRPr="00016E69">
        <w:rPr>
          <w:rFonts w:cs="Garamond"/>
          <w:b/>
          <w:sz w:val="24"/>
          <w:szCs w:val="24"/>
          <w:lang w:val="en-US"/>
        </w:rPr>
        <w:t xml:space="preserve">Are there still </w:t>
      </w:r>
      <w:r w:rsidR="00ED463B" w:rsidRPr="00016E69">
        <w:rPr>
          <w:rFonts w:cs="Garamond"/>
          <w:b/>
          <w:sz w:val="24"/>
          <w:szCs w:val="24"/>
          <w:lang w:val="en-US"/>
        </w:rPr>
        <w:t>regulatory loopholes</w:t>
      </w:r>
      <w:r w:rsidRPr="00016E69">
        <w:rPr>
          <w:rFonts w:cs="Garamond"/>
          <w:b/>
          <w:sz w:val="24"/>
          <w:szCs w:val="24"/>
          <w:lang w:val="en-US"/>
        </w:rPr>
        <w:t xml:space="preserve"> between the EIR-R and the Brussels I</w:t>
      </w:r>
      <w:r w:rsidR="005357E7" w:rsidRPr="001F1860">
        <w:rPr>
          <w:rFonts w:cs="Garamond"/>
          <w:b/>
          <w:sz w:val="24"/>
          <w:szCs w:val="24"/>
          <w:lang w:val="en-US"/>
        </w:rPr>
        <w:t>bis</w:t>
      </w:r>
      <w:r w:rsidR="005357E7" w:rsidRPr="00016E69">
        <w:rPr>
          <w:rFonts w:cs="Garamond"/>
          <w:b/>
          <w:sz w:val="24"/>
          <w:szCs w:val="24"/>
          <w:vertAlign w:val="superscript"/>
          <w:lang w:val="en-US"/>
        </w:rPr>
        <w:t xml:space="preserve"> </w:t>
      </w:r>
      <w:r w:rsidR="005357E7" w:rsidRPr="00016E69">
        <w:rPr>
          <w:rFonts w:cs="Garamond"/>
          <w:b/>
          <w:sz w:val="24"/>
          <w:szCs w:val="24"/>
          <w:lang w:val="en-US"/>
        </w:rPr>
        <w:t>Regulation</w:t>
      </w:r>
      <w:r w:rsidRPr="00016E69">
        <w:rPr>
          <w:rFonts w:cs="Garamond"/>
          <w:b/>
          <w:sz w:val="24"/>
          <w:szCs w:val="24"/>
          <w:lang w:val="en-US"/>
        </w:rPr>
        <w:t xml:space="preserve">? </w:t>
      </w:r>
    </w:p>
    <w:p w14:paraId="3045E492" w14:textId="77777777" w:rsidR="00201847" w:rsidRDefault="00201847" w:rsidP="00201847">
      <w:pPr>
        <w:pStyle w:val="Listenabsatz"/>
        <w:tabs>
          <w:tab w:val="left" w:pos="3225"/>
        </w:tabs>
        <w:spacing w:before="120" w:after="120" w:line="276" w:lineRule="auto"/>
        <w:ind w:left="851"/>
        <w:contextualSpacing w:val="0"/>
        <w:rPr>
          <w:rFonts w:cs="Garamond"/>
          <w:sz w:val="24"/>
          <w:szCs w:val="24"/>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Pr>
          <w:rFonts w:cs="Garamond"/>
          <w:sz w:val="24"/>
          <w:szCs w:val="24"/>
        </w:rPr>
        <w:t xml:space="preserve"> </w:t>
      </w:r>
      <w:r w:rsidR="00911730" w:rsidRPr="00016E69">
        <w:rPr>
          <w:rFonts w:cs="Garamond"/>
          <w:sz w:val="24"/>
          <w:szCs w:val="24"/>
          <w:lang w:val="en-US"/>
        </w:rPr>
        <w:t>No</w:t>
      </w:r>
      <w:r w:rsidR="00ED463B" w:rsidRPr="00016E69">
        <w:rPr>
          <w:rFonts w:cs="Garamond"/>
          <w:sz w:val="24"/>
          <w:szCs w:val="24"/>
          <w:lang w:val="en-US"/>
        </w:rPr>
        <w:t xml:space="preserve">. </w:t>
      </w:r>
      <w:r w:rsidR="006E3E7B" w:rsidRPr="00016E69">
        <w:rPr>
          <w:rFonts w:cs="Garamond"/>
          <w:sz w:val="24"/>
          <w:szCs w:val="24"/>
          <w:lang w:val="en-US"/>
        </w:rPr>
        <w:t>Please justify.</w:t>
      </w:r>
      <w:r w:rsidRPr="00201847">
        <w:rPr>
          <w:noProof/>
          <w:lang w:val="en-US"/>
        </w:rPr>
        <w:t xml:space="preserve"> </w:t>
      </w:r>
      <w:r w:rsidRPr="00B07777">
        <w:rPr>
          <w:noProof/>
          <w:lang w:eastAsia="de-DE"/>
        </w:rPr>
        <w:drawing>
          <wp:anchor distT="0" distB="0" distL="114300" distR="114300" simplePos="0" relativeHeight="251666432" behindDoc="1" locked="0" layoutInCell="1" allowOverlap="1" wp14:anchorId="4CC8025B" wp14:editId="300F4AD4">
            <wp:simplePos x="0" y="0"/>
            <wp:positionH relativeFrom="page">
              <wp:posOffset>2919095</wp:posOffset>
            </wp:positionH>
            <wp:positionV relativeFrom="page">
              <wp:posOffset>10810875</wp:posOffset>
            </wp:positionV>
            <wp:extent cx="4065270" cy="1450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65270" cy="1450975"/>
                    </a:xfrm>
                    <a:prstGeom prst="rect">
                      <a:avLst/>
                    </a:prstGeom>
                    <a:noFill/>
                  </pic:spPr>
                </pic:pic>
              </a:graphicData>
            </a:graphic>
            <wp14:sizeRelH relativeFrom="page">
              <wp14:pctWidth>0</wp14:pctWidth>
            </wp14:sizeRelH>
            <wp14:sizeRelV relativeFrom="page">
              <wp14:pctHeight>0</wp14:pctHeight>
            </wp14:sizeRelV>
          </wp:anchor>
        </w:drawing>
      </w:r>
      <w:r w:rsidRPr="00D92E65">
        <w:rPr>
          <w:rFonts w:cs="Garamond"/>
          <w:sz w:val="24"/>
          <w:szCs w:val="24"/>
        </w:rPr>
        <w:t xml:space="preserve"> </w:t>
      </w:r>
    </w:p>
    <w:p w14:paraId="045E7FE5" w14:textId="77777777" w:rsidR="00201847" w:rsidRDefault="00201847" w:rsidP="00201847">
      <w:pPr>
        <w:pStyle w:val="Listenabsatz"/>
        <w:tabs>
          <w:tab w:val="left" w:pos="3225"/>
        </w:tabs>
        <w:spacing w:before="120" w:after="120" w:line="276" w:lineRule="auto"/>
        <w:ind w:left="851"/>
        <w:contextualSpacing w:val="0"/>
        <w:rPr>
          <w:rFonts w:cs="Garamond"/>
          <w:sz w:val="24"/>
          <w:szCs w:val="24"/>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385D3947" w14:textId="77777777" w:rsidR="003060F2" w:rsidRPr="00016E69" w:rsidRDefault="00201847" w:rsidP="007837FC">
      <w:pPr>
        <w:pStyle w:val="Listenabsatz"/>
        <w:spacing w:before="120" w:after="120"/>
        <w:ind w:left="851"/>
        <w:contextualSpacing w:val="0"/>
        <w:rPr>
          <w:rFonts w:cs="Garamond"/>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A3432A" w:rsidRPr="00016E69">
        <w:rPr>
          <w:rFonts w:cs="Garamond" w:hint="eastAsia"/>
          <w:sz w:val="24"/>
          <w:szCs w:val="24"/>
          <w:lang w:val="en-US"/>
        </w:rPr>
        <w:t xml:space="preserve"> </w:t>
      </w:r>
      <w:r w:rsidR="00911730" w:rsidRPr="00016E69">
        <w:rPr>
          <w:rFonts w:cs="Garamond"/>
          <w:sz w:val="24"/>
          <w:szCs w:val="24"/>
          <w:lang w:val="en-US"/>
        </w:rPr>
        <w:t>Yes</w:t>
      </w:r>
      <w:r w:rsidR="006E3E7B" w:rsidRPr="00016E69">
        <w:rPr>
          <w:rFonts w:cs="Garamond"/>
          <w:sz w:val="24"/>
          <w:szCs w:val="24"/>
          <w:lang w:val="en-US"/>
        </w:rPr>
        <w:t>.</w:t>
      </w:r>
      <w:r w:rsidR="00911730" w:rsidRPr="00016E69">
        <w:rPr>
          <w:rFonts w:cs="Garamond"/>
          <w:sz w:val="24"/>
          <w:szCs w:val="24"/>
          <w:lang w:val="en-US"/>
        </w:rPr>
        <w:t xml:space="preserve"> Recital 7 provides that </w:t>
      </w:r>
      <w:r w:rsidR="00C729AE" w:rsidRPr="00016E69">
        <w:rPr>
          <w:rFonts w:cs="Garamond"/>
          <w:sz w:val="24"/>
          <w:szCs w:val="24"/>
          <w:lang w:val="en-US"/>
        </w:rPr>
        <w:t>“</w:t>
      </w:r>
      <w:r w:rsidR="00911730" w:rsidRPr="00016E69">
        <w:rPr>
          <w:rFonts w:cs="Garamond"/>
          <w:sz w:val="24"/>
          <w:szCs w:val="24"/>
          <w:lang w:val="en-US"/>
        </w:rPr>
        <w:t>the interpretation of this Regulation should as much as possible avoid regulatory loopholes between the two instruments</w:t>
      </w:r>
      <w:r w:rsidR="00C729AE" w:rsidRPr="00016E69">
        <w:rPr>
          <w:rFonts w:cs="Garamond"/>
          <w:sz w:val="24"/>
          <w:szCs w:val="24"/>
          <w:lang w:val="en-US"/>
        </w:rPr>
        <w:t>”</w:t>
      </w:r>
      <w:r w:rsidR="00ED463B" w:rsidRPr="00016E69">
        <w:rPr>
          <w:rFonts w:cs="Garamond"/>
          <w:sz w:val="24"/>
          <w:szCs w:val="24"/>
          <w:lang w:val="en-US"/>
        </w:rPr>
        <w:t>. However,</w:t>
      </w:r>
      <w:r w:rsidR="00911730" w:rsidRPr="00016E69">
        <w:rPr>
          <w:rFonts w:cs="Garamond"/>
          <w:sz w:val="24"/>
          <w:szCs w:val="24"/>
          <w:lang w:val="en-US"/>
        </w:rPr>
        <w:t xml:space="preserve"> it adds that </w:t>
      </w:r>
      <w:r w:rsidR="00C729AE" w:rsidRPr="00016E69">
        <w:rPr>
          <w:rFonts w:cs="Garamond"/>
          <w:sz w:val="24"/>
          <w:szCs w:val="24"/>
          <w:lang w:val="en-US"/>
        </w:rPr>
        <w:t>“</w:t>
      </w:r>
      <w:r w:rsidR="00911730" w:rsidRPr="00016E69">
        <w:rPr>
          <w:rFonts w:cs="Garamond"/>
          <w:sz w:val="24"/>
          <w:szCs w:val="24"/>
          <w:lang w:val="en-US"/>
        </w:rPr>
        <w:t>the mere fact that a national procedure is not listed in Annex A to this Regulation should not imply that it is covered by Regulation (EU) No 1215/2012</w:t>
      </w:r>
      <w:r w:rsidR="00C729AE" w:rsidRPr="00016E69">
        <w:rPr>
          <w:rFonts w:cs="Garamond"/>
          <w:sz w:val="24"/>
          <w:szCs w:val="24"/>
          <w:lang w:val="en-US"/>
        </w:rPr>
        <w:t>”</w:t>
      </w:r>
      <w:r w:rsidR="006E3E7B" w:rsidRPr="00016E69">
        <w:rPr>
          <w:rFonts w:cs="Garamond"/>
          <w:sz w:val="24"/>
          <w:szCs w:val="24"/>
          <w:lang w:val="en-US"/>
        </w:rPr>
        <w:t>. Accordingly,</w:t>
      </w:r>
      <w:r w:rsidR="00834A50" w:rsidRPr="00016E69">
        <w:rPr>
          <w:rFonts w:cs="Garamond"/>
          <w:sz w:val="24"/>
          <w:szCs w:val="24"/>
          <w:lang w:val="en-US"/>
        </w:rPr>
        <w:t xml:space="preserve"> </w:t>
      </w:r>
      <w:r w:rsidR="00ED463B" w:rsidRPr="00016E69">
        <w:rPr>
          <w:rFonts w:cs="Garamond"/>
          <w:sz w:val="24"/>
          <w:szCs w:val="24"/>
          <w:lang w:val="en-US"/>
        </w:rPr>
        <w:t>regulatory gap</w:t>
      </w:r>
      <w:r w:rsidR="00834A50" w:rsidRPr="00016E69">
        <w:rPr>
          <w:rFonts w:cs="Garamond"/>
          <w:sz w:val="24"/>
          <w:szCs w:val="24"/>
          <w:lang w:val="en-GB"/>
        </w:rPr>
        <w:t>s are possible.</w:t>
      </w:r>
      <w:r w:rsidR="00ED463B" w:rsidRPr="00016E69">
        <w:rPr>
          <w:rFonts w:cs="Garamond"/>
          <w:sz w:val="24"/>
          <w:szCs w:val="24"/>
          <w:lang w:val="en-US"/>
        </w:rPr>
        <w:t xml:space="preserve"> </w:t>
      </w:r>
    </w:p>
    <w:p w14:paraId="6B6B1E66" w14:textId="77777777" w:rsidR="00911730" w:rsidRDefault="00201847" w:rsidP="007837FC">
      <w:pPr>
        <w:suppressAutoHyphens/>
        <w:spacing w:before="120" w:after="120"/>
        <w:ind w:left="851"/>
        <w:jc w:val="both"/>
        <w:rPr>
          <w:rFonts w:ascii="Garamond" w:hAnsi="Garamond" w:cs="Garamond"/>
          <w:sz w:val="24"/>
          <w:szCs w:val="24"/>
        </w:rPr>
      </w:pPr>
      <w:r>
        <w:rPr>
          <w:rFonts w:ascii="Garamond" w:hAnsi="Garamond" w:cs="Garamond"/>
          <w:sz w:val="24"/>
          <w:szCs w:val="24"/>
        </w:rPr>
        <w:fldChar w:fldCharType="begin">
          <w:ffData>
            <w:name w:val="Check1"/>
            <w:enabled/>
            <w:calcOnExit w:val="0"/>
            <w:checkBox>
              <w:sizeAuto/>
              <w:default w:val="0"/>
            </w:checkBox>
          </w:ffData>
        </w:fldChar>
      </w:r>
      <w:r w:rsidRPr="00D92E65">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r>
        <w:rPr>
          <w:rFonts w:ascii="Garamond" w:hAnsi="Garamond" w:cs="Garamond"/>
          <w:sz w:val="24"/>
          <w:szCs w:val="24"/>
        </w:rPr>
        <w:t xml:space="preserve"> </w:t>
      </w:r>
      <w:proofErr w:type="gramStart"/>
      <w:r w:rsidR="00911730" w:rsidRPr="00016E69">
        <w:rPr>
          <w:rFonts w:ascii="Garamond" w:hAnsi="Garamond" w:cs="Garamond"/>
          <w:sz w:val="24"/>
          <w:szCs w:val="24"/>
        </w:rPr>
        <w:t>Other</w:t>
      </w:r>
      <w:r w:rsidR="006E3E7B" w:rsidRPr="00016E69">
        <w:rPr>
          <w:rFonts w:ascii="Garamond" w:hAnsi="Garamond" w:cs="Garamond"/>
          <w:sz w:val="24"/>
          <w:szCs w:val="24"/>
        </w:rPr>
        <w:t>.</w:t>
      </w:r>
      <w:proofErr w:type="gramEnd"/>
      <w:r w:rsidR="00911730" w:rsidRPr="00016E69">
        <w:rPr>
          <w:rFonts w:ascii="Garamond" w:hAnsi="Garamond" w:cs="Garamond"/>
          <w:sz w:val="24"/>
          <w:szCs w:val="24"/>
        </w:rPr>
        <w:t xml:space="preserve"> </w:t>
      </w:r>
    </w:p>
    <w:p w14:paraId="077A2572" w14:textId="77777777" w:rsidR="00201847" w:rsidRDefault="00201847" w:rsidP="00201847">
      <w:pPr>
        <w:pStyle w:val="Listenabsatz"/>
        <w:tabs>
          <w:tab w:val="left" w:pos="3225"/>
        </w:tabs>
        <w:spacing w:before="120" w:after="120" w:line="276" w:lineRule="auto"/>
        <w:ind w:left="851"/>
        <w:contextualSpacing w:val="0"/>
        <w:rPr>
          <w:rFonts w:cs="Garamond"/>
          <w:sz w:val="24"/>
          <w:szCs w:val="24"/>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73FB3996" w14:textId="77777777" w:rsidR="008E6FA5" w:rsidRPr="00016E69" w:rsidRDefault="008E6FA5" w:rsidP="00201847">
      <w:pPr>
        <w:pStyle w:val="Listenabsatz"/>
        <w:tabs>
          <w:tab w:val="left" w:pos="3225"/>
        </w:tabs>
        <w:spacing w:before="120" w:after="120" w:line="276" w:lineRule="auto"/>
        <w:ind w:left="851"/>
        <w:contextualSpacing w:val="0"/>
        <w:rPr>
          <w:rFonts w:cs="Garamond"/>
          <w:sz w:val="24"/>
          <w:szCs w:val="24"/>
        </w:rPr>
      </w:pPr>
    </w:p>
    <w:p w14:paraId="07DD3205" w14:textId="77777777" w:rsidR="00911730" w:rsidRPr="008E6FA5" w:rsidRDefault="00911730" w:rsidP="008E6FA5">
      <w:pPr>
        <w:pStyle w:val="Listenabsatz"/>
        <w:numPr>
          <w:ilvl w:val="0"/>
          <w:numId w:val="34"/>
        </w:numPr>
        <w:spacing w:before="120" w:after="120"/>
        <w:contextualSpacing w:val="0"/>
        <w:rPr>
          <w:rFonts w:cs="Garamond"/>
          <w:b/>
          <w:sz w:val="24"/>
          <w:szCs w:val="24"/>
          <w:lang w:val="en-US"/>
        </w:rPr>
      </w:pPr>
      <w:r w:rsidRPr="008E6FA5">
        <w:rPr>
          <w:rFonts w:cs="Garamond"/>
          <w:b/>
          <w:sz w:val="24"/>
          <w:szCs w:val="24"/>
          <w:lang w:val="en-US"/>
        </w:rPr>
        <w:t>I</w:t>
      </w:r>
      <w:r w:rsidR="00834A50" w:rsidRPr="008E6FA5">
        <w:rPr>
          <w:rFonts w:cs="Garamond"/>
          <w:b/>
          <w:sz w:val="24"/>
          <w:szCs w:val="24"/>
          <w:lang w:val="en-US"/>
        </w:rPr>
        <w:t>f so,</w:t>
      </w:r>
      <w:r w:rsidRPr="008E6FA5">
        <w:rPr>
          <w:rFonts w:cs="Garamond"/>
          <w:b/>
          <w:sz w:val="24"/>
          <w:szCs w:val="24"/>
          <w:lang w:val="en-US"/>
        </w:rPr>
        <w:t xml:space="preserve"> which are these</w:t>
      </w:r>
      <w:r w:rsidR="00834A50" w:rsidRPr="008E6FA5">
        <w:rPr>
          <w:rFonts w:cs="Garamond"/>
          <w:b/>
          <w:sz w:val="24"/>
          <w:szCs w:val="24"/>
          <w:lang w:val="en-US"/>
        </w:rPr>
        <w:t xml:space="preserve"> regulatory loopholes and how can</w:t>
      </w:r>
      <w:r w:rsidR="00315723">
        <w:rPr>
          <w:rFonts w:cs="Garamond"/>
          <w:b/>
          <w:sz w:val="24"/>
          <w:szCs w:val="24"/>
          <w:lang w:val="en-US"/>
        </w:rPr>
        <w:t xml:space="preserve"> they</w:t>
      </w:r>
      <w:r w:rsidR="00834A50" w:rsidRPr="008E6FA5">
        <w:rPr>
          <w:rFonts w:cs="Garamond"/>
          <w:b/>
          <w:sz w:val="24"/>
          <w:szCs w:val="24"/>
          <w:lang w:val="en-US"/>
        </w:rPr>
        <w:t xml:space="preserve"> </w:t>
      </w:r>
      <w:proofErr w:type="gramStart"/>
      <w:r w:rsidR="00834A50" w:rsidRPr="008E6FA5">
        <w:rPr>
          <w:rFonts w:cs="Garamond"/>
          <w:b/>
          <w:sz w:val="24"/>
          <w:szCs w:val="24"/>
          <w:lang w:val="en-US"/>
        </w:rPr>
        <w:t>be</w:t>
      </w:r>
      <w:proofErr w:type="gramEnd"/>
      <w:r w:rsidR="00834A50" w:rsidRPr="008E6FA5">
        <w:rPr>
          <w:rFonts w:cs="Garamond"/>
          <w:b/>
          <w:sz w:val="24"/>
          <w:szCs w:val="24"/>
          <w:lang w:val="en-US"/>
        </w:rPr>
        <w:t xml:space="preserve"> dealt with</w:t>
      </w:r>
      <w:r w:rsidRPr="008E6FA5">
        <w:rPr>
          <w:rFonts w:cs="Garamond"/>
          <w:b/>
          <w:sz w:val="24"/>
          <w:szCs w:val="24"/>
          <w:lang w:val="en-US"/>
        </w:rPr>
        <w:t>?</w:t>
      </w:r>
    </w:p>
    <w:p w14:paraId="4BD4AD7A" w14:textId="77777777" w:rsidR="00905A18" w:rsidRPr="00016E69" w:rsidRDefault="00201847" w:rsidP="007837FC">
      <w:pPr>
        <w:spacing w:before="120" w:after="120"/>
        <w:ind w:left="851"/>
        <w:jc w:val="both"/>
        <w:rPr>
          <w:rFonts w:ascii="Garamond" w:hAnsi="Garamond" w:cs="Garamond"/>
          <w:sz w:val="24"/>
          <w:szCs w:val="24"/>
        </w:rPr>
      </w:pPr>
      <w:r>
        <w:rPr>
          <w:rFonts w:ascii="Garamond" w:hAnsi="Garamond" w:cs="Garamond"/>
          <w:sz w:val="24"/>
          <w:szCs w:val="24"/>
        </w:rPr>
        <w:fldChar w:fldCharType="begin">
          <w:ffData>
            <w:name w:val="Check1"/>
            <w:enabled/>
            <w:calcOnExit w:val="0"/>
            <w:checkBox>
              <w:sizeAuto/>
              <w:default w:val="0"/>
            </w:checkBox>
          </w:ffData>
        </w:fldChar>
      </w:r>
      <w:r w:rsidRPr="00D92E65">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r w:rsidR="00905A18" w:rsidRPr="00016E69">
        <w:rPr>
          <w:rFonts w:ascii="Garamond" w:hAnsi="Garamond" w:cs="Garamond"/>
          <w:sz w:val="24"/>
          <w:szCs w:val="24"/>
        </w:rPr>
        <w:t xml:space="preserve"> </w:t>
      </w:r>
      <w:proofErr w:type="gramStart"/>
      <w:r w:rsidR="00905A18" w:rsidRPr="00016E69">
        <w:rPr>
          <w:rFonts w:ascii="Garamond" w:hAnsi="Garamond" w:cs="Garamond"/>
          <w:sz w:val="24"/>
          <w:szCs w:val="24"/>
        </w:rPr>
        <w:t>Proceedings that are not listed in Annex A of the EIR-R but fall outside the scope of the Brussels I Regulation (e.g, English schemes of arrangements).</w:t>
      </w:r>
      <w:proofErr w:type="gramEnd"/>
      <w:r w:rsidR="00905A18" w:rsidRPr="00016E69">
        <w:rPr>
          <w:rFonts w:ascii="Garamond" w:hAnsi="Garamond" w:cs="Garamond"/>
          <w:sz w:val="24"/>
          <w:szCs w:val="24"/>
        </w:rPr>
        <w:t xml:space="preserve"> These proceedings should be governed by the:</w:t>
      </w:r>
    </w:p>
    <w:p w14:paraId="390FFBFC" w14:textId="77777777" w:rsidR="00905A18" w:rsidRPr="00016E69" w:rsidRDefault="00BB25F0" w:rsidP="00E25495">
      <w:pPr>
        <w:spacing w:before="120" w:after="120"/>
        <w:ind w:left="851"/>
        <w:jc w:val="both"/>
        <w:rPr>
          <w:rFonts w:ascii="Garamond" w:hAnsi="Garamond" w:cs="Garamond"/>
          <w:sz w:val="24"/>
          <w:szCs w:val="24"/>
        </w:rPr>
      </w:pPr>
      <w:r>
        <w:rPr>
          <w:rFonts w:ascii="Garamond" w:hAnsi="Garamond" w:cs="Garamond"/>
          <w:sz w:val="24"/>
          <w:szCs w:val="24"/>
        </w:rPr>
        <w:tab/>
      </w:r>
      <w:r w:rsidR="00201847">
        <w:rPr>
          <w:rFonts w:ascii="Garamond" w:hAnsi="Garamond" w:cs="Garamond"/>
          <w:sz w:val="24"/>
          <w:szCs w:val="24"/>
        </w:rPr>
        <w:fldChar w:fldCharType="begin">
          <w:ffData>
            <w:name w:val="Check1"/>
            <w:enabled/>
            <w:calcOnExit w:val="0"/>
            <w:checkBox>
              <w:sizeAuto/>
              <w:default w:val="0"/>
            </w:checkBox>
          </w:ffData>
        </w:fldChar>
      </w:r>
      <w:r w:rsidR="00201847" w:rsidRPr="00D92E65">
        <w:rPr>
          <w:rFonts w:ascii="Garamond" w:hAnsi="Garamond" w:cs="Garamond"/>
          <w:sz w:val="24"/>
          <w:szCs w:val="24"/>
        </w:rPr>
        <w:instrText xml:space="preserve"> FORMCHECKBOX </w:instrText>
      </w:r>
      <w:r w:rsidR="00201847">
        <w:rPr>
          <w:rFonts w:ascii="Garamond" w:hAnsi="Garamond" w:cs="Garamond"/>
          <w:sz w:val="24"/>
          <w:szCs w:val="24"/>
        </w:rPr>
      </w:r>
      <w:r w:rsidR="00201847">
        <w:rPr>
          <w:rFonts w:ascii="Garamond" w:hAnsi="Garamond" w:cs="Garamond"/>
          <w:sz w:val="24"/>
          <w:szCs w:val="24"/>
        </w:rPr>
        <w:fldChar w:fldCharType="end"/>
      </w:r>
      <w:r w:rsidR="005964CD" w:rsidRPr="00016E69">
        <w:rPr>
          <w:rFonts w:ascii="Garamond" w:hAnsi="Garamond" w:cs="Garamond"/>
          <w:sz w:val="24"/>
          <w:szCs w:val="24"/>
        </w:rPr>
        <w:t xml:space="preserve"> </w:t>
      </w:r>
      <w:r w:rsidR="00905A18" w:rsidRPr="00016E69">
        <w:rPr>
          <w:rFonts w:ascii="Garamond" w:hAnsi="Garamond" w:cs="Garamond"/>
          <w:sz w:val="24"/>
          <w:szCs w:val="24"/>
        </w:rPr>
        <w:t>Brussels I Regulation;</w:t>
      </w:r>
    </w:p>
    <w:p w14:paraId="3542C425" w14:textId="77777777" w:rsidR="00304665" w:rsidRDefault="00BB25F0" w:rsidP="00E25495">
      <w:pPr>
        <w:spacing w:before="120" w:after="120"/>
        <w:ind w:left="851"/>
        <w:jc w:val="both"/>
        <w:rPr>
          <w:rFonts w:ascii="Garamond" w:hAnsi="Garamond" w:cs="Garamond"/>
          <w:sz w:val="24"/>
          <w:szCs w:val="24"/>
        </w:rPr>
      </w:pPr>
      <w:r>
        <w:rPr>
          <w:rFonts w:ascii="Garamond" w:hAnsi="Garamond" w:cs="Garamond"/>
          <w:sz w:val="24"/>
          <w:szCs w:val="24"/>
        </w:rPr>
        <w:tab/>
      </w:r>
      <w:r w:rsidR="00201847">
        <w:rPr>
          <w:rFonts w:ascii="Garamond" w:hAnsi="Garamond" w:cs="Garamond"/>
          <w:sz w:val="24"/>
          <w:szCs w:val="24"/>
        </w:rPr>
        <w:fldChar w:fldCharType="begin">
          <w:ffData>
            <w:name w:val="Check1"/>
            <w:enabled/>
            <w:calcOnExit w:val="0"/>
            <w:checkBox>
              <w:sizeAuto/>
              <w:default w:val="0"/>
            </w:checkBox>
          </w:ffData>
        </w:fldChar>
      </w:r>
      <w:r w:rsidR="00201847" w:rsidRPr="00D92E65">
        <w:rPr>
          <w:rFonts w:ascii="Garamond" w:hAnsi="Garamond" w:cs="Garamond"/>
          <w:sz w:val="24"/>
          <w:szCs w:val="24"/>
        </w:rPr>
        <w:instrText xml:space="preserve"> FORMCHECKBOX </w:instrText>
      </w:r>
      <w:r w:rsidR="00201847">
        <w:rPr>
          <w:rFonts w:ascii="Garamond" w:hAnsi="Garamond" w:cs="Garamond"/>
          <w:sz w:val="24"/>
          <w:szCs w:val="24"/>
        </w:rPr>
      </w:r>
      <w:r w:rsidR="00201847">
        <w:rPr>
          <w:rFonts w:ascii="Garamond" w:hAnsi="Garamond" w:cs="Garamond"/>
          <w:sz w:val="24"/>
          <w:szCs w:val="24"/>
        </w:rPr>
        <w:fldChar w:fldCharType="end"/>
      </w:r>
      <w:r w:rsidR="005964CD" w:rsidRPr="00016E69">
        <w:rPr>
          <w:rFonts w:ascii="Garamond" w:hAnsi="Garamond" w:cs="Garamond"/>
          <w:sz w:val="24"/>
          <w:szCs w:val="24"/>
        </w:rPr>
        <w:t xml:space="preserve"> </w:t>
      </w:r>
      <w:r w:rsidR="00905A18" w:rsidRPr="00016E69">
        <w:rPr>
          <w:rFonts w:ascii="Garamond" w:hAnsi="Garamond" w:cs="Garamond"/>
          <w:sz w:val="24"/>
          <w:szCs w:val="24"/>
        </w:rPr>
        <w:t>Rome I Regulation;</w:t>
      </w:r>
    </w:p>
    <w:p w14:paraId="5D6B91DC" w14:textId="77777777" w:rsidR="00C729AE" w:rsidRPr="00016E69" w:rsidRDefault="00BB25F0" w:rsidP="00E25495">
      <w:pPr>
        <w:spacing w:before="120" w:after="120"/>
        <w:ind w:left="851"/>
        <w:jc w:val="both"/>
        <w:rPr>
          <w:rFonts w:ascii="Garamond" w:hAnsi="Garamond" w:cs="Garamond"/>
          <w:sz w:val="24"/>
          <w:szCs w:val="24"/>
        </w:rPr>
      </w:pPr>
      <w:r>
        <w:rPr>
          <w:rFonts w:ascii="Garamond" w:hAnsi="Garamond" w:cs="Garamond"/>
          <w:sz w:val="24"/>
          <w:szCs w:val="24"/>
        </w:rPr>
        <w:tab/>
      </w:r>
      <w:r w:rsidR="00201847">
        <w:rPr>
          <w:rFonts w:ascii="Garamond" w:hAnsi="Garamond" w:cs="Garamond"/>
          <w:sz w:val="24"/>
          <w:szCs w:val="24"/>
        </w:rPr>
        <w:fldChar w:fldCharType="begin">
          <w:ffData>
            <w:name w:val="Check1"/>
            <w:enabled/>
            <w:calcOnExit w:val="0"/>
            <w:checkBox>
              <w:sizeAuto/>
              <w:default w:val="0"/>
            </w:checkBox>
          </w:ffData>
        </w:fldChar>
      </w:r>
      <w:r w:rsidR="00201847" w:rsidRPr="00D92E65">
        <w:rPr>
          <w:rFonts w:ascii="Garamond" w:hAnsi="Garamond" w:cs="Garamond"/>
          <w:sz w:val="24"/>
          <w:szCs w:val="24"/>
        </w:rPr>
        <w:instrText xml:space="preserve"> FORMCHECKBOX </w:instrText>
      </w:r>
      <w:r w:rsidR="00201847">
        <w:rPr>
          <w:rFonts w:ascii="Garamond" w:hAnsi="Garamond" w:cs="Garamond"/>
          <w:sz w:val="24"/>
          <w:szCs w:val="24"/>
        </w:rPr>
      </w:r>
      <w:r w:rsidR="00201847">
        <w:rPr>
          <w:rFonts w:ascii="Garamond" w:hAnsi="Garamond" w:cs="Garamond"/>
          <w:sz w:val="24"/>
          <w:szCs w:val="24"/>
        </w:rPr>
        <w:fldChar w:fldCharType="end"/>
      </w:r>
      <w:r w:rsidR="00C729AE" w:rsidRPr="00016E69">
        <w:rPr>
          <w:rFonts w:ascii="Garamond" w:hAnsi="Garamond" w:cs="Garamond"/>
          <w:sz w:val="24"/>
          <w:szCs w:val="24"/>
        </w:rPr>
        <w:t xml:space="preserve"> </w:t>
      </w:r>
      <w:proofErr w:type="gramStart"/>
      <w:r w:rsidR="00905A18" w:rsidRPr="00016E69">
        <w:rPr>
          <w:rFonts w:ascii="Garamond" w:hAnsi="Garamond" w:cs="Garamond"/>
          <w:sz w:val="24"/>
          <w:szCs w:val="24"/>
        </w:rPr>
        <w:t>National Law</w:t>
      </w:r>
      <w:r w:rsidR="00C729AE" w:rsidRPr="00016E69">
        <w:rPr>
          <w:rFonts w:ascii="Garamond" w:hAnsi="Garamond" w:cs="Garamond"/>
          <w:sz w:val="24"/>
          <w:szCs w:val="24"/>
        </w:rPr>
        <w:t>.</w:t>
      </w:r>
      <w:proofErr w:type="gramEnd"/>
    </w:p>
    <w:p w14:paraId="02C79DA3" w14:textId="77777777" w:rsidR="00301042" w:rsidRPr="00304665" w:rsidRDefault="00201847" w:rsidP="00E25495">
      <w:pPr>
        <w:spacing w:before="120" w:after="120"/>
        <w:ind w:left="851"/>
        <w:jc w:val="both"/>
        <w:rPr>
          <w:rFonts w:ascii="Garamond" w:hAnsi="Garamond" w:cs="Garamond"/>
          <w:sz w:val="24"/>
          <w:szCs w:val="24"/>
        </w:rPr>
      </w:pPr>
      <w:r>
        <w:rPr>
          <w:rFonts w:ascii="Garamond" w:hAnsi="Garamond" w:cs="Garamond"/>
          <w:sz w:val="24"/>
          <w:szCs w:val="24"/>
        </w:rPr>
        <w:fldChar w:fldCharType="begin">
          <w:ffData>
            <w:name w:val="Check1"/>
            <w:enabled/>
            <w:calcOnExit w:val="0"/>
            <w:checkBox>
              <w:sizeAuto/>
              <w:default w:val="0"/>
            </w:checkBox>
          </w:ffData>
        </w:fldChar>
      </w:r>
      <w:r w:rsidRPr="00D92E65">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r w:rsidR="00905A18" w:rsidRPr="00304665">
        <w:rPr>
          <w:rFonts w:ascii="Garamond" w:hAnsi="Garamond" w:cs="Garamond"/>
          <w:sz w:val="24"/>
          <w:szCs w:val="24"/>
        </w:rPr>
        <w:t xml:space="preserve"> </w:t>
      </w:r>
      <w:proofErr w:type="gramStart"/>
      <w:r w:rsidR="00905A18" w:rsidRPr="00304665">
        <w:rPr>
          <w:rFonts w:ascii="Garamond" w:hAnsi="Garamond" w:cs="Garamond"/>
          <w:sz w:val="24"/>
          <w:szCs w:val="24"/>
        </w:rPr>
        <w:t>Other.</w:t>
      </w:r>
      <w:proofErr w:type="gramEnd"/>
      <w:r w:rsidR="00905A18" w:rsidRPr="00304665">
        <w:rPr>
          <w:rFonts w:ascii="Garamond" w:hAnsi="Garamond" w:cs="Garamond"/>
          <w:sz w:val="24"/>
          <w:szCs w:val="24"/>
        </w:rPr>
        <w:t xml:space="preserve"> </w:t>
      </w:r>
      <w:r w:rsidR="003411D2" w:rsidRPr="00304665">
        <w:rPr>
          <w:rFonts w:ascii="Garamond" w:hAnsi="Garamond" w:cs="Garamond"/>
          <w:sz w:val="24"/>
          <w:szCs w:val="24"/>
        </w:rPr>
        <w:t>Please specify</w:t>
      </w:r>
      <w:r w:rsidR="00C729AE" w:rsidRPr="00304665">
        <w:rPr>
          <w:rFonts w:ascii="Garamond" w:hAnsi="Garamond" w:cs="Garamond"/>
          <w:sz w:val="24"/>
          <w:szCs w:val="24"/>
        </w:rPr>
        <w:t>.</w:t>
      </w:r>
    </w:p>
    <w:p w14:paraId="3EF71B3B" w14:textId="77777777" w:rsidR="0058599B" w:rsidRDefault="00201847" w:rsidP="00E25495">
      <w:pPr>
        <w:spacing w:before="120" w:after="120"/>
        <w:ind w:left="851"/>
        <w:jc w:val="both"/>
        <w:rPr>
          <w:rFonts w:ascii="Garamond" w:hAnsi="Garamond" w:cs="Garamond"/>
          <w:sz w:val="24"/>
          <w:szCs w:val="24"/>
        </w:rPr>
      </w:pPr>
      <w:r>
        <w:rPr>
          <w:rFonts w:ascii="Garamond" w:hAnsi="Garamond" w:cs="Garamond"/>
          <w:sz w:val="24"/>
          <w:szCs w:val="24"/>
        </w:rPr>
        <w:fldChar w:fldCharType="begin">
          <w:ffData>
            <w:name w:val="Text1"/>
            <w:enabled/>
            <w:calcOnExit w:val="0"/>
            <w:textInput/>
          </w:ffData>
        </w:fldChar>
      </w:r>
      <w:r>
        <w:rPr>
          <w:rFonts w:ascii="Garamond" w:hAnsi="Garamond" w:cs="Garamond"/>
          <w:sz w:val="24"/>
          <w:szCs w:val="24"/>
        </w:rPr>
        <w:instrText xml:space="preserve"> FORMTEXT </w:instrText>
      </w:r>
      <w:r>
        <w:rPr>
          <w:rFonts w:ascii="Garamond" w:hAnsi="Garamond" w:cs="Garamond"/>
          <w:sz w:val="24"/>
          <w:szCs w:val="24"/>
        </w:rPr>
      </w:r>
      <w:r>
        <w:rPr>
          <w:rFonts w:ascii="Garamond" w:hAnsi="Garamond" w:cs="Garamond"/>
          <w:sz w:val="24"/>
          <w:szCs w:val="24"/>
        </w:rPr>
        <w:fldChar w:fldCharType="separate"/>
      </w:r>
      <w:r>
        <w:rPr>
          <w:rFonts w:ascii="Garamond" w:hAnsi="Garamond" w:cs="Garamond"/>
          <w:sz w:val="24"/>
          <w:szCs w:val="24"/>
        </w:rPr>
        <w:t> </w:t>
      </w:r>
      <w:r>
        <w:rPr>
          <w:rFonts w:ascii="Garamond" w:hAnsi="Garamond" w:cs="Garamond"/>
          <w:sz w:val="24"/>
          <w:szCs w:val="24"/>
        </w:rPr>
        <w:t> </w:t>
      </w:r>
      <w:r>
        <w:rPr>
          <w:rFonts w:ascii="Garamond" w:hAnsi="Garamond" w:cs="Garamond"/>
          <w:sz w:val="24"/>
          <w:szCs w:val="24"/>
        </w:rPr>
        <w:t> </w:t>
      </w:r>
      <w:r>
        <w:rPr>
          <w:rFonts w:ascii="Garamond" w:hAnsi="Garamond" w:cs="Garamond"/>
          <w:sz w:val="24"/>
          <w:szCs w:val="24"/>
        </w:rPr>
        <w:t> </w:t>
      </w:r>
      <w:r>
        <w:rPr>
          <w:rFonts w:ascii="Garamond" w:hAnsi="Garamond" w:cs="Garamond"/>
          <w:sz w:val="24"/>
          <w:szCs w:val="24"/>
        </w:rPr>
        <w:t> </w:t>
      </w:r>
      <w:r>
        <w:rPr>
          <w:rFonts w:ascii="Garamond" w:hAnsi="Garamond" w:cs="Garamond"/>
          <w:sz w:val="24"/>
          <w:szCs w:val="24"/>
        </w:rPr>
        <w:fldChar w:fldCharType="end"/>
      </w:r>
    </w:p>
    <w:p w14:paraId="28DC75F0" w14:textId="77777777" w:rsidR="00201847" w:rsidRPr="00016E69" w:rsidRDefault="00201847" w:rsidP="00201847">
      <w:pPr>
        <w:spacing w:before="120" w:after="120"/>
        <w:ind w:left="851"/>
        <w:jc w:val="both"/>
        <w:rPr>
          <w:rFonts w:cs="Garamond"/>
          <w:sz w:val="24"/>
          <w:szCs w:val="24"/>
        </w:rPr>
      </w:pPr>
    </w:p>
    <w:p w14:paraId="2CA537F4" w14:textId="77777777" w:rsidR="00911730" w:rsidRPr="00016E69" w:rsidRDefault="004B1BB7" w:rsidP="00CF673C">
      <w:pPr>
        <w:pStyle w:val="Listenabsatz"/>
        <w:numPr>
          <w:ilvl w:val="0"/>
          <w:numId w:val="34"/>
        </w:numPr>
        <w:spacing w:before="120" w:after="120"/>
        <w:contextualSpacing w:val="0"/>
        <w:rPr>
          <w:rFonts w:cs="Garamond"/>
          <w:b/>
          <w:sz w:val="24"/>
          <w:szCs w:val="24"/>
          <w:lang w:val="en-US"/>
        </w:rPr>
      </w:pPr>
      <w:r w:rsidRPr="00016E69">
        <w:rPr>
          <w:rFonts w:cs="Garamond"/>
          <w:b/>
          <w:sz w:val="24"/>
          <w:szCs w:val="24"/>
          <w:lang w:val="en-US"/>
        </w:rPr>
        <w:t>With regard to insolvency-</w:t>
      </w:r>
      <w:r w:rsidR="00301042" w:rsidRPr="00016E69">
        <w:rPr>
          <w:rFonts w:cs="Garamond"/>
          <w:b/>
          <w:sz w:val="24"/>
          <w:szCs w:val="24"/>
          <w:lang w:val="en-US"/>
        </w:rPr>
        <w:t>related proceedings, i</w:t>
      </w:r>
      <w:r w:rsidR="001A46FF" w:rsidRPr="00016E69">
        <w:rPr>
          <w:rFonts w:cs="Garamond"/>
          <w:b/>
          <w:sz w:val="24"/>
          <w:szCs w:val="24"/>
          <w:lang w:val="en-US"/>
        </w:rPr>
        <w:t>s</w:t>
      </w:r>
      <w:r w:rsidR="00911730" w:rsidRPr="00016E69">
        <w:rPr>
          <w:rFonts w:cs="Garamond"/>
          <w:b/>
          <w:sz w:val="24"/>
          <w:szCs w:val="24"/>
          <w:lang w:val="en-US"/>
        </w:rPr>
        <w:t xml:space="preserve"> the</w:t>
      </w:r>
      <w:r w:rsidR="00C729AE" w:rsidRPr="00016E69">
        <w:rPr>
          <w:rFonts w:cs="Garamond"/>
          <w:b/>
          <w:sz w:val="24"/>
          <w:szCs w:val="24"/>
          <w:lang w:val="en-US"/>
        </w:rPr>
        <w:t xml:space="preserve"> so-called “Gourdain formula” (“</w:t>
      </w:r>
      <w:r w:rsidR="00911730" w:rsidRPr="00016E69">
        <w:rPr>
          <w:rFonts w:cs="Garamond"/>
          <w:b/>
          <w:sz w:val="24"/>
          <w:szCs w:val="24"/>
          <w:lang w:val="en-US"/>
        </w:rPr>
        <w:t xml:space="preserve">any action which derives directly from the insolvency proceedings </w:t>
      </w:r>
      <w:r w:rsidR="00C729AE" w:rsidRPr="00016E69">
        <w:rPr>
          <w:rFonts w:cs="Garamond"/>
          <w:b/>
          <w:sz w:val="24"/>
          <w:szCs w:val="24"/>
          <w:lang w:val="en-US"/>
        </w:rPr>
        <w:t>and is closely linked with them”</w:t>
      </w:r>
      <w:r w:rsidR="00911730" w:rsidRPr="00016E69">
        <w:rPr>
          <w:rFonts w:cs="Garamond"/>
          <w:b/>
          <w:sz w:val="24"/>
          <w:szCs w:val="24"/>
          <w:lang w:val="en-US"/>
        </w:rPr>
        <w:t>)</w:t>
      </w:r>
      <w:r w:rsidR="00905A18" w:rsidRPr="00016E69">
        <w:rPr>
          <w:rFonts w:cs="Garamond"/>
          <w:b/>
          <w:sz w:val="24"/>
          <w:szCs w:val="24"/>
          <w:lang w:val="en-US"/>
        </w:rPr>
        <w:t>, which has been incorporated</w:t>
      </w:r>
      <w:r w:rsidR="00911730" w:rsidRPr="00016E69">
        <w:rPr>
          <w:rFonts w:cs="Garamond"/>
          <w:b/>
          <w:sz w:val="24"/>
          <w:szCs w:val="24"/>
          <w:lang w:val="en-US"/>
        </w:rPr>
        <w:t xml:space="preserve"> in </w:t>
      </w:r>
      <w:r w:rsidR="00905A18" w:rsidRPr="00016E69">
        <w:rPr>
          <w:rFonts w:cs="Garamond"/>
          <w:b/>
          <w:sz w:val="24"/>
          <w:szCs w:val="24"/>
          <w:lang w:val="en-US"/>
        </w:rPr>
        <w:t>Article</w:t>
      </w:r>
      <w:r w:rsidR="00911730" w:rsidRPr="00016E69">
        <w:rPr>
          <w:rFonts w:cs="Garamond"/>
          <w:b/>
          <w:sz w:val="24"/>
          <w:szCs w:val="24"/>
          <w:lang w:val="en-US"/>
        </w:rPr>
        <w:t xml:space="preserve"> 6(1) EIR-R</w:t>
      </w:r>
      <w:r w:rsidR="001A46FF" w:rsidRPr="00016E69">
        <w:rPr>
          <w:rFonts w:cs="Garamond"/>
          <w:b/>
          <w:sz w:val="24"/>
          <w:szCs w:val="24"/>
          <w:lang w:val="en-US"/>
        </w:rPr>
        <w:t>, appropriate for the delineation of between the EIR-R (</w:t>
      </w:r>
      <w:proofErr w:type="gramStart"/>
      <w:r w:rsidR="001A46FF" w:rsidRPr="00016E69">
        <w:rPr>
          <w:rFonts w:cs="Garamond"/>
          <w:b/>
          <w:i/>
          <w:iCs/>
          <w:sz w:val="24"/>
          <w:szCs w:val="24"/>
          <w:lang w:val="en-US"/>
        </w:rPr>
        <w:t>vis</w:t>
      </w:r>
      <w:proofErr w:type="gramEnd"/>
      <w:r w:rsidR="001A46FF" w:rsidRPr="00016E69">
        <w:rPr>
          <w:rFonts w:cs="Garamond"/>
          <w:b/>
          <w:i/>
          <w:iCs/>
          <w:sz w:val="24"/>
          <w:szCs w:val="24"/>
          <w:lang w:val="en-US"/>
        </w:rPr>
        <w:t xml:space="preserve"> attractiva concursus</w:t>
      </w:r>
      <w:r w:rsidR="001A46FF" w:rsidRPr="00016E69">
        <w:rPr>
          <w:rFonts w:cs="Garamond"/>
          <w:b/>
          <w:sz w:val="24"/>
          <w:szCs w:val="24"/>
          <w:lang w:val="en-US"/>
        </w:rPr>
        <w:t>) and the Brussels I</w:t>
      </w:r>
      <w:r w:rsidR="00C729AE" w:rsidRPr="00016E69">
        <w:rPr>
          <w:rFonts w:cs="Garamond"/>
          <w:b/>
          <w:sz w:val="24"/>
          <w:szCs w:val="24"/>
          <w:vertAlign w:val="superscript"/>
          <w:lang w:val="en-US"/>
        </w:rPr>
        <w:t>bis</w:t>
      </w:r>
      <w:r w:rsidR="001A46FF" w:rsidRPr="00016E69">
        <w:rPr>
          <w:rFonts w:cs="Garamond"/>
          <w:b/>
          <w:sz w:val="24"/>
          <w:szCs w:val="24"/>
          <w:lang w:val="en-US"/>
        </w:rPr>
        <w:t xml:space="preserve"> Regulation</w:t>
      </w:r>
      <w:r w:rsidR="00911730" w:rsidRPr="00016E69">
        <w:rPr>
          <w:rFonts w:cs="Garamond"/>
          <w:b/>
          <w:sz w:val="24"/>
          <w:szCs w:val="24"/>
          <w:lang w:val="en-US"/>
        </w:rPr>
        <w:t>?</w:t>
      </w:r>
    </w:p>
    <w:p w14:paraId="59605538" w14:textId="77777777" w:rsidR="00604242" w:rsidRPr="00016E69" w:rsidRDefault="00201847" w:rsidP="007837FC">
      <w:pPr>
        <w:pStyle w:val="Listenabsatz"/>
        <w:spacing w:before="120" w:after="120" w:line="276" w:lineRule="auto"/>
        <w:ind w:left="851"/>
        <w:contextualSpacing w:val="0"/>
        <w:rPr>
          <w:rFonts w:cs="Garamond"/>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3411D2" w:rsidRPr="00016E69">
        <w:rPr>
          <w:rFonts w:cs="Garamond" w:hint="eastAsia"/>
          <w:sz w:val="24"/>
          <w:szCs w:val="24"/>
          <w:lang w:val="en-US"/>
        </w:rPr>
        <w:t xml:space="preserve"> </w:t>
      </w:r>
      <w:r w:rsidR="00911730" w:rsidRPr="00016E69">
        <w:rPr>
          <w:rFonts w:cs="Garamond"/>
          <w:sz w:val="24"/>
          <w:szCs w:val="24"/>
          <w:lang w:val="en-US"/>
        </w:rPr>
        <w:t xml:space="preserve">Yes. The formula should be interpreted </w:t>
      </w:r>
      <w:r w:rsidR="00301042" w:rsidRPr="00016E69">
        <w:rPr>
          <w:rFonts w:cs="Garamond"/>
          <w:sz w:val="24"/>
          <w:szCs w:val="24"/>
          <w:lang w:val="en-US"/>
        </w:rPr>
        <w:t>broadly, in light of the relevant case law of the CJEU</w:t>
      </w:r>
      <w:r w:rsidR="00911730" w:rsidRPr="00016E69">
        <w:rPr>
          <w:rFonts w:cs="Garamond"/>
          <w:sz w:val="24"/>
          <w:szCs w:val="24"/>
          <w:lang w:val="en-US"/>
        </w:rPr>
        <w:t xml:space="preserve">. Moreover, Recital 35 provides two examples of what a related action is and </w:t>
      </w:r>
      <w:r w:rsidR="00911730" w:rsidRPr="00016E69">
        <w:rPr>
          <w:rFonts w:cs="Garamond"/>
          <w:sz w:val="24"/>
          <w:szCs w:val="24"/>
          <w:lang w:val="en-US"/>
        </w:rPr>
        <w:lastRenderedPageBreak/>
        <w:t xml:space="preserve">an example of what a related action is </w:t>
      </w:r>
      <w:r w:rsidR="005357E7" w:rsidRPr="00016E69">
        <w:rPr>
          <w:rFonts w:cs="Garamond"/>
          <w:sz w:val="24"/>
          <w:szCs w:val="24"/>
          <w:lang w:val="en-US"/>
        </w:rPr>
        <w:t xml:space="preserve">not; </w:t>
      </w:r>
      <w:r w:rsidR="00911730" w:rsidRPr="00016E69">
        <w:rPr>
          <w:rFonts w:cs="Garamond"/>
          <w:sz w:val="24"/>
          <w:szCs w:val="24"/>
          <w:lang w:val="en-US"/>
        </w:rPr>
        <w:t xml:space="preserve">these examples are sufficient to shed light on possible borderline cases. </w:t>
      </w:r>
    </w:p>
    <w:p w14:paraId="5FB22D6B" w14:textId="77777777" w:rsidR="00617838" w:rsidRPr="00016E69" w:rsidRDefault="00201847" w:rsidP="007837FC">
      <w:pPr>
        <w:spacing w:before="120" w:after="120"/>
        <w:ind w:left="851"/>
        <w:jc w:val="both"/>
        <w:rPr>
          <w:rFonts w:ascii="Garamond" w:hAnsi="Garamond" w:cs="Garamond"/>
          <w:sz w:val="24"/>
          <w:szCs w:val="24"/>
        </w:rPr>
      </w:pPr>
      <w:r>
        <w:rPr>
          <w:rFonts w:ascii="Garamond" w:hAnsi="Garamond" w:cs="Garamond"/>
          <w:sz w:val="24"/>
          <w:szCs w:val="24"/>
        </w:rPr>
        <w:fldChar w:fldCharType="begin">
          <w:ffData>
            <w:name w:val="Check1"/>
            <w:enabled/>
            <w:calcOnExit w:val="0"/>
            <w:checkBox>
              <w:sizeAuto/>
              <w:default w:val="0"/>
            </w:checkBox>
          </w:ffData>
        </w:fldChar>
      </w:r>
      <w:r w:rsidRPr="00D92E65">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r w:rsidR="00617838" w:rsidRPr="00016E69">
        <w:rPr>
          <w:rFonts w:ascii="Garamond" w:hAnsi="Garamond" w:cs="Garamond"/>
          <w:sz w:val="24"/>
          <w:szCs w:val="24"/>
        </w:rPr>
        <w:t xml:space="preserve"> </w:t>
      </w:r>
      <w:r w:rsidR="00911730" w:rsidRPr="00016E69">
        <w:rPr>
          <w:rFonts w:ascii="Garamond" w:hAnsi="Garamond" w:cs="Garamond"/>
          <w:sz w:val="24"/>
          <w:szCs w:val="24"/>
        </w:rPr>
        <w:t>No</w:t>
      </w:r>
      <w:r w:rsidR="00301042" w:rsidRPr="00016E69">
        <w:rPr>
          <w:rFonts w:ascii="Garamond" w:hAnsi="Garamond" w:cs="Garamond"/>
          <w:sz w:val="24"/>
          <w:szCs w:val="24"/>
        </w:rPr>
        <w:t>.</w:t>
      </w:r>
      <w:r w:rsidR="00911730" w:rsidRPr="00016E69">
        <w:rPr>
          <w:rFonts w:ascii="Garamond" w:hAnsi="Garamond" w:cs="Garamond"/>
          <w:sz w:val="24"/>
          <w:szCs w:val="24"/>
        </w:rPr>
        <w:t xml:space="preserve"> The formula gives no clear guidance on what is</w:t>
      </w:r>
      <w:r w:rsidR="003269DF">
        <w:rPr>
          <w:rFonts w:ascii="Garamond" w:hAnsi="Garamond" w:cs="Garamond"/>
          <w:sz w:val="24"/>
          <w:szCs w:val="24"/>
        </w:rPr>
        <w:t xml:space="preserve"> “</w:t>
      </w:r>
      <w:r w:rsidR="00564C9F" w:rsidRPr="00016E69">
        <w:rPr>
          <w:rFonts w:ascii="Garamond" w:hAnsi="Garamond" w:cs="Garamond"/>
          <w:sz w:val="24"/>
          <w:szCs w:val="24"/>
        </w:rPr>
        <w:t>‘</w:t>
      </w:r>
      <w:r w:rsidR="00911730" w:rsidRPr="00016E69">
        <w:rPr>
          <w:rFonts w:ascii="Garamond" w:hAnsi="Garamond" w:cs="Garamond"/>
          <w:sz w:val="24"/>
          <w:szCs w:val="24"/>
        </w:rPr>
        <w:t>a directly and closely linked action</w:t>
      </w:r>
      <w:r w:rsidR="003269DF">
        <w:rPr>
          <w:rFonts w:ascii="Garamond" w:hAnsi="Garamond" w:cs="Garamond"/>
          <w:sz w:val="24"/>
          <w:szCs w:val="24"/>
        </w:rPr>
        <w:t>”</w:t>
      </w:r>
      <w:r w:rsidR="00911730" w:rsidRPr="00016E69">
        <w:rPr>
          <w:rFonts w:ascii="Garamond" w:hAnsi="Garamond" w:cs="Garamond"/>
          <w:sz w:val="24"/>
          <w:szCs w:val="24"/>
        </w:rPr>
        <w:t xml:space="preserve">. </w:t>
      </w:r>
      <w:r w:rsidR="005357E7" w:rsidRPr="00016E69">
        <w:rPr>
          <w:rFonts w:ascii="Garamond" w:hAnsi="Garamond" w:cs="Garamond"/>
          <w:sz w:val="24"/>
          <w:szCs w:val="24"/>
        </w:rPr>
        <w:t>Other more</w:t>
      </w:r>
      <w:r w:rsidR="00564C9F" w:rsidRPr="00016E69">
        <w:rPr>
          <w:rFonts w:ascii="Garamond" w:hAnsi="Garamond" w:cs="Garamond"/>
          <w:sz w:val="24"/>
          <w:szCs w:val="24"/>
        </w:rPr>
        <w:t xml:space="preserve"> recent case law of the CJEU</w:t>
      </w:r>
      <w:r w:rsidR="00564C9F" w:rsidRPr="00016E69">
        <w:rPr>
          <w:rStyle w:val="Funotenzeichen"/>
          <w:rFonts w:ascii="Garamond" w:hAnsi="Garamond" w:cs="Garamond"/>
          <w:iCs/>
          <w:sz w:val="24"/>
          <w:szCs w:val="24"/>
        </w:rPr>
        <w:footnoteReference w:id="8"/>
      </w:r>
      <w:r w:rsidR="005357E7" w:rsidRPr="00016E69">
        <w:rPr>
          <w:rFonts w:ascii="Garamond" w:hAnsi="Garamond" w:cs="Garamond"/>
          <w:sz w:val="24"/>
          <w:szCs w:val="24"/>
        </w:rPr>
        <w:t xml:space="preserve"> </w:t>
      </w:r>
      <w:r w:rsidR="007E0228" w:rsidRPr="00016E69">
        <w:rPr>
          <w:rFonts w:ascii="Garamond" w:hAnsi="Garamond" w:cs="Garamond"/>
          <w:sz w:val="24"/>
          <w:szCs w:val="24"/>
        </w:rPr>
        <w:t>has failed to</w:t>
      </w:r>
      <w:r w:rsidR="004B1BB7" w:rsidRPr="00016E69">
        <w:rPr>
          <w:rFonts w:ascii="Garamond" w:hAnsi="Garamond" w:cs="Garamond"/>
          <w:sz w:val="24"/>
          <w:szCs w:val="24"/>
        </w:rPr>
        <w:t xml:space="preserve"> provide </w:t>
      </w:r>
      <w:r w:rsidR="00911730" w:rsidRPr="00016E69">
        <w:rPr>
          <w:rFonts w:ascii="Garamond" w:hAnsi="Garamond" w:cs="Garamond"/>
          <w:sz w:val="24"/>
          <w:szCs w:val="24"/>
        </w:rPr>
        <w:t>a</w:t>
      </w:r>
      <w:r w:rsidR="004B1BB7" w:rsidRPr="00016E69">
        <w:rPr>
          <w:rFonts w:ascii="Garamond" w:hAnsi="Garamond" w:cs="Garamond"/>
          <w:sz w:val="24"/>
          <w:szCs w:val="24"/>
        </w:rPr>
        <w:t xml:space="preserve"> better-suited</w:t>
      </w:r>
      <w:r w:rsidR="00911730" w:rsidRPr="00016E69">
        <w:rPr>
          <w:rFonts w:ascii="Garamond" w:hAnsi="Garamond" w:cs="Garamond"/>
          <w:sz w:val="24"/>
          <w:szCs w:val="24"/>
        </w:rPr>
        <w:t xml:space="preserve"> criterion </w:t>
      </w:r>
      <w:r w:rsidR="004B1BB7" w:rsidRPr="00016E69">
        <w:rPr>
          <w:rFonts w:ascii="Garamond" w:hAnsi="Garamond" w:cs="Garamond"/>
          <w:sz w:val="24"/>
          <w:szCs w:val="24"/>
        </w:rPr>
        <w:t xml:space="preserve">for the delineation between the </w:t>
      </w:r>
      <w:r w:rsidR="00911730" w:rsidRPr="00016E69">
        <w:rPr>
          <w:rFonts w:ascii="Garamond" w:hAnsi="Garamond" w:cs="Garamond"/>
          <w:sz w:val="24"/>
          <w:szCs w:val="24"/>
        </w:rPr>
        <w:t>EIR-R</w:t>
      </w:r>
      <w:r w:rsidR="00F85685" w:rsidRPr="00016E69">
        <w:rPr>
          <w:rFonts w:ascii="Garamond" w:hAnsi="Garamond" w:cs="Garamond"/>
          <w:sz w:val="24"/>
          <w:szCs w:val="24"/>
        </w:rPr>
        <w:t xml:space="preserve"> </w:t>
      </w:r>
      <w:r w:rsidR="004B1BB7" w:rsidRPr="00016E69">
        <w:rPr>
          <w:rFonts w:ascii="Garamond" w:hAnsi="Garamond" w:cs="Garamond"/>
          <w:sz w:val="24"/>
          <w:szCs w:val="24"/>
        </w:rPr>
        <w:t>and</w:t>
      </w:r>
      <w:r w:rsidR="00F85685" w:rsidRPr="00016E69">
        <w:rPr>
          <w:rFonts w:ascii="Garamond" w:hAnsi="Garamond" w:cs="Garamond"/>
          <w:sz w:val="24"/>
          <w:szCs w:val="24"/>
        </w:rPr>
        <w:t xml:space="preserve"> Brussels I</w:t>
      </w:r>
      <w:r w:rsidR="005357E7" w:rsidRPr="00016E69">
        <w:rPr>
          <w:rFonts w:ascii="Garamond" w:hAnsi="Garamond" w:cs="Garamond"/>
          <w:sz w:val="24"/>
          <w:szCs w:val="24"/>
        </w:rPr>
        <w:t>bis Regulation.</w:t>
      </w:r>
    </w:p>
    <w:p w14:paraId="5185472C" w14:textId="77777777" w:rsidR="00911730" w:rsidRDefault="00201847" w:rsidP="007837FC">
      <w:pPr>
        <w:spacing w:before="120" w:after="120"/>
        <w:ind w:left="851"/>
        <w:jc w:val="both"/>
        <w:rPr>
          <w:rFonts w:ascii="Garamond" w:hAnsi="Garamond" w:cs="Garamond"/>
          <w:sz w:val="24"/>
          <w:szCs w:val="24"/>
        </w:rPr>
      </w:pPr>
      <w:r>
        <w:rPr>
          <w:rFonts w:ascii="Garamond" w:hAnsi="Garamond" w:cs="Garamond"/>
          <w:sz w:val="24"/>
          <w:szCs w:val="24"/>
        </w:rPr>
        <w:fldChar w:fldCharType="begin">
          <w:ffData>
            <w:name w:val="Check1"/>
            <w:enabled/>
            <w:calcOnExit w:val="0"/>
            <w:checkBox>
              <w:sizeAuto/>
              <w:default w:val="0"/>
            </w:checkBox>
          </w:ffData>
        </w:fldChar>
      </w:r>
      <w:r w:rsidRPr="00D92E65">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r w:rsidR="00617838" w:rsidRPr="00016E69">
        <w:rPr>
          <w:rFonts w:ascii="Garamond" w:hAnsi="Garamond" w:cs="Garamond"/>
          <w:sz w:val="24"/>
          <w:szCs w:val="24"/>
        </w:rPr>
        <w:t xml:space="preserve"> </w:t>
      </w:r>
      <w:proofErr w:type="gramStart"/>
      <w:r w:rsidR="00911730" w:rsidRPr="00016E69">
        <w:rPr>
          <w:rFonts w:ascii="Garamond" w:hAnsi="Garamond" w:cs="Garamond"/>
          <w:sz w:val="24"/>
          <w:szCs w:val="24"/>
        </w:rPr>
        <w:t>Other</w:t>
      </w:r>
      <w:r w:rsidR="00936D9B" w:rsidRPr="00016E69">
        <w:rPr>
          <w:rFonts w:ascii="Garamond" w:hAnsi="Garamond" w:cs="Garamond"/>
          <w:sz w:val="24"/>
          <w:szCs w:val="24"/>
        </w:rPr>
        <w:t>.</w:t>
      </w:r>
      <w:proofErr w:type="gramEnd"/>
    </w:p>
    <w:p w14:paraId="01085302" w14:textId="77777777" w:rsidR="00201847" w:rsidRDefault="00201847" w:rsidP="00201847">
      <w:pPr>
        <w:spacing w:before="120" w:after="120"/>
        <w:ind w:left="851"/>
        <w:jc w:val="both"/>
        <w:rPr>
          <w:rFonts w:ascii="Garamond" w:hAnsi="Garamond" w:cs="Garamond"/>
          <w:sz w:val="24"/>
          <w:szCs w:val="24"/>
        </w:rPr>
      </w:pPr>
      <w:r>
        <w:rPr>
          <w:rFonts w:ascii="Garamond" w:hAnsi="Garamond" w:cs="Garamond"/>
          <w:sz w:val="24"/>
          <w:szCs w:val="24"/>
        </w:rPr>
        <w:fldChar w:fldCharType="begin">
          <w:ffData>
            <w:name w:val="Text1"/>
            <w:enabled/>
            <w:calcOnExit w:val="0"/>
            <w:textInput/>
          </w:ffData>
        </w:fldChar>
      </w:r>
      <w:r>
        <w:rPr>
          <w:rFonts w:ascii="Garamond" w:hAnsi="Garamond" w:cs="Garamond"/>
          <w:sz w:val="24"/>
          <w:szCs w:val="24"/>
        </w:rPr>
        <w:instrText xml:space="preserve"> FORMTEXT </w:instrText>
      </w:r>
      <w:r>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p>
    <w:p w14:paraId="3765160B" w14:textId="77777777" w:rsidR="00201847" w:rsidRDefault="00201847" w:rsidP="007837FC">
      <w:pPr>
        <w:spacing w:before="120" w:after="120"/>
        <w:ind w:left="851"/>
        <w:jc w:val="both"/>
        <w:rPr>
          <w:rFonts w:ascii="Garamond" w:hAnsi="Garamond" w:cs="Garamond"/>
          <w:sz w:val="24"/>
          <w:szCs w:val="24"/>
        </w:rPr>
      </w:pPr>
    </w:p>
    <w:p w14:paraId="3C0B852E" w14:textId="77777777" w:rsidR="00797B79" w:rsidRPr="00016E69" w:rsidRDefault="00797B79" w:rsidP="007837FC">
      <w:pPr>
        <w:spacing w:before="120" w:after="120"/>
        <w:ind w:left="851"/>
        <w:jc w:val="both"/>
        <w:rPr>
          <w:rFonts w:ascii="Garamond" w:hAnsi="Garamond" w:cs="Garamond"/>
          <w:sz w:val="24"/>
          <w:szCs w:val="24"/>
        </w:rPr>
      </w:pPr>
    </w:p>
    <w:p w14:paraId="21010B35" w14:textId="77777777" w:rsidR="009B70A1" w:rsidRPr="002361EA" w:rsidRDefault="00B83B62" w:rsidP="00CD7CD8">
      <w:pPr>
        <w:pStyle w:val="berschrift1"/>
        <w:rPr>
          <w:b/>
        </w:rPr>
      </w:pPr>
      <w:r w:rsidRPr="002361EA">
        <w:t>§ 2 -</w:t>
      </w:r>
      <w:r w:rsidR="009B70A1" w:rsidRPr="002361EA">
        <w:t xml:space="preserve"> The Interplay between Main and Secondary Proceedings</w:t>
      </w:r>
    </w:p>
    <w:p w14:paraId="4017AD65" w14:textId="77777777" w:rsidR="00E845A6" w:rsidRPr="00CD7CD8" w:rsidRDefault="00E845A6" w:rsidP="00CD7CD8"/>
    <w:p w14:paraId="6763DDEC" w14:textId="77777777" w:rsidR="009B70A1" w:rsidRPr="008B4A49" w:rsidRDefault="0079285D" w:rsidP="00CD7CD8">
      <w:pPr>
        <w:pStyle w:val="berschrift2"/>
      </w:pPr>
      <w:r w:rsidRPr="008B4A49">
        <w:t>A</w:t>
      </w:r>
      <w:r w:rsidR="009B70A1" w:rsidRPr="008B4A49">
        <w:t>. Instruments to avoid or postpone secondary proceedings</w:t>
      </w:r>
    </w:p>
    <w:p w14:paraId="7D458597" w14:textId="77777777" w:rsidR="009B70A1" w:rsidRPr="00F24EAF" w:rsidRDefault="0079285D" w:rsidP="00CD7CD8">
      <w:pPr>
        <w:pStyle w:val="berschrift3"/>
        <w:rPr>
          <w:b/>
        </w:rPr>
      </w:pPr>
      <w:bookmarkStart w:id="9" w:name="_Toc420080431"/>
      <w:r>
        <w:t xml:space="preserve">I. </w:t>
      </w:r>
      <w:r w:rsidR="009B70A1" w:rsidRPr="00F24EAF">
        <w:t>Reform</w:t>
      </w:r>
      <w:bookmarkEnd w:id="9"/>
    </w:p>
    <w:p w14:paraId="6F22F068" w14:textId="77777777" w:rsidR="009B70A1" w:rsidRPr="00016E69" w:rsidRDefault="009B70A1" w:rsidP="007837FC">
      <w:pPr>
        <w:spacing w:before="120" w:after="120"/>
        <w:jc w:val="both"/>
        <w:rPr>
          <w:rFonts w:ascii="Garamond" w:hAnsi="Garamond"/>
          <w:sz w:val="24"/>
          <w:szCs w:val="24"/>
        </w:rPr>
      </w:pPr>
      <w:r w:rsidRPr="00016E69">
        <w:rPr>
          <w:rFonts w:ascii="Garamond" w:hAnsi="Garamond" w:cs="Arial"/>
          <w:sz w:val="24"/>
          <w:szCs w:val="24"/>
        </w:rPr>
        <w:t xml:space="preserve">The recast of the Insolvency Regulation aims to reduce the opening of secondary proceedings which may hamper </w:t>
      </w:r>
      <w:r w:rsidRPr="00016E69">
        <w:rPr>
          <w:rFonts w:ascii="Garamond" w:hAnsi="Garamond"/>
          <w:sz w:val="24"/>
          <w:szCs w:val="24"/>
        </w:rPr>
        <w:t xml:space="preserve">the efficient administration of the insolvency estate to the detriment of the creditors as a whole. Following practical experience gained from the English proceedings in </w:t>
      </w:r>
      <w:r w:rsidRPr="00016E69">
        <w:rPr>
          <w:rFonts w:ascii="Garamond" w:hAnsi="Garamond"/>
          <w:i/>
          <w:sz w:val="24"/>
          <w:szCs w:val="24"/>
        </w:rPr>
        <w:t>Collins &amp; Aikmann</w:t>
      </w:r>
      <w:r w:rsidRPr="00016E69">
        <w:rPr>
          <w:rFonts w:ascii="Garamond" w:hAnsi="Garamond"/>
          <w:sz w:val="24"/>
          <w:szCs w:val="24"/>
        </w:rPr>
        <w:t xml:space="preserve">, </w:t>
      </w:r>
      <w:r w:rsidRPr="00016E69">
        <w:rPr>
          <w:rFonts w:ascii="Garamond" w:hAnsi="Garamond"/>
          <w:i/>
          <w:sz w:val="24"/>
          <w:szCs w:val="24"/>
        </w:rPr>
        <w:t>MG Rover</w:t>
      </w:r>
      <w:r w:rsidRPr="00016E69">
        <w:rPr>
          <w:rFonts w:ascii="Garamond" w:hAnsi="Garamond"/>
          <w:sz w:val="24"/>
          <w:szCs w:val="24"/>
        </w:rPr>
        <w:t xml:space="preserve"> or </w:t>
      </w:r>
      <w:r w:rsidRPr="00016E69">
        <w:rPr>
          <w:rFonts w:ascii="Garamond" w:hAnsi="Garamond"/>
          <w:i/>
          <w:sz w:val="24"/>
          <w:szCs w:val="24"/>
        </w:rPr>
        <w:t>Nortel Networks</w:t>
      </w:r>
      <w:r w:rsidRPr="00016E69">
        <w:rPr>
          <w:rFonts w:ascii="Garamond" w:hAnsi="Garamond"/>
          <w:sz w:val="24"/>
          <w:szCs w:val="24"/>
        </w:rPr>
        <w:t>,</w:t>
      </w:r>
      <w:r w:rsidRPr="00016E69">
        <w:rPr>
          <w:rStyle w:val="Funotenzeichen"/>
          <w:rFonts w:ascii="Garamond" w:hAnsi="Garamond"/>
          <w:sz w:val="24"/>
          <w:szCs w:val="24"/>
        </w:rPr>
        <w:footnoteReference w:id="9"/>
      </w:r>
      <w:r w:rsidRPr="00016E69">
        <w:rPr>
          <w:rFonts w:ascii="Garamond" w:hAnsi="Garamond"/>
          <w:sz w:val="24"/>
          <w:szCs w:val="24"/>
        </w:rPr>
        <w:t xml:space="preserve"> the new regime empowers the court at the request of the main insolvency practitioner to postpone or even refuse the opening of secondary proceedings in specific situations (Articles 36 ff. EIR-R).</w:t>
      </w:r>
    </w:p>
    <w:p w14:paraId="2A6DBE0B" w14:textId="77777777" w:rsidR="009B70A1" w:rsidRPr="00016E69" w:rsidRDefault="009B70A1" w:rsidP="007837FC">
      <w:pPr>
        <w:spacing w:before="120" w:after="120"/>
        <w:jc w:val="both"/>
        <w:rPr>
          <w:rFonts w:ascii="Garamond" w:hAnsi="Garamond" w:cs="Arial"/>
          <w:sz w:val="24"/>
          <w:szCs w:val="24"/>
          <w:lang w:val="en-GB"/>
        </w:rPr>
      </w:pPr>
      <w:r w:rsidRPr="00016E69">
        <w:rPr>
          <w:rFonts w:ascii="Garamond" w:hAnsi="Garamond" w:cs="Arial"/>
          <w:sz w:val="24"/>
          <w:szCs w:val="24"/>
        </w:rPr>
        <w:t xml:space="preserve">a) Firstly, the main insolvency </w:t>
      </w:r>
      <w:r w:rsidRPr="00016E69">
        <w:rPr>
          <w:rFonts w:ascii="Garamond" w:hAnsi="Garamond" w:cs="Arial"/>
          <w:sz w:val="24"/>
          <w:szCs w:val="24"/>
          <w:lang w:val="en-GB"/>
        </w:rPr>
        <w:t>practitioner will be entitled to give an undertaking to local creditors which treats them with respect to distribution and priority rights as if secondary proceedings had been opened (so-called synthetic proceedings</w:t>
      </w:r>
      <w:r w:rsidRPr="00016E69">
        <w:rPr>
          <w:rFonts w:ascii="Garamond" w:hAnsi="Garamond" w:cs="Arial"/>
          <w:sz w:val="24"/>
          <w:szCs w:val="24"/>
        </w:rPr>
        <w:t xml:space="preserve">. </w:t>
      </w:r>
      <w:r w:rsidRPr="00016E69">
        <w:rPr>
          <w:rFonts w:ascii="Garamond" w:hAnsi="Garamond" w:cs="Arial"/>
          <w:sz w:val="24"/>
          <w:szCs w:val="24"/>
          <w:lang w:val="en-GB"/>
        </w:rPr>
        <w:t xml:space="preserve">Unlike Articles 7, 35 </w:t>
      </w:r>
      <w:r w:rsidRPr="00016E69">
        <w:rPr>
          <w:rFonts w:ascii="Garamond" w:hAnsi="Garamond"/>
          <w:sz w:val="24"/>
          <w:szCs w:val="24"/>
        </w:rPr>
        <w:t>EIR-R</w:t>
      </w:r>
      <w:r w:rsidRPr="00016E69">
        <w:rPr>
          <w:rFonts w:ascii="Garamond" w:hAnsi="Garamond" w:cs="Arial"/>
          <w:sz w:val="24"/>
          <w:szCs w:val="24"/>
          <w:lang w:val="en-GB"/>
        </w:rPr>
        <w:t xml:space="preserve">, the law governing the distribution and priority rights will be awarded on the basis of a contractual-related commitment subject to approval by the known local creditors and, if need be, by the creditors or respective procedural bodies of the main proceedings according to national law. In that regard, the instrument of an </w:t>
      </w:r>
      <w:proofErr w:type="gramStart"/>
      <w:r w:rsidRPr="00016E69">
        <w:rPr>
          <w:rFonts w:ascii="Garamond" w:hAnsi="Garamond" w:cs="Arial"/>
          <w:sz w:val="24"/>
          <w:szCs w:val="24"/>
          <w:lang w:val="en-GB"/>
        </w:rPr>
        <w:t>undertaking,</w:t>
      </w:r>
      <w:proofErr w:type="gramEnd"/>
      <w:r w:rsidRPr="00016E69">
        <w:rPr>
          <w:rFonts w:ascii="Garamond" w:hAnsi="Garamond" w:cs="Arial"/>
          <w:sz w:val="24"/>
          <w:szCs w:val="24"/>
          <w:lang w:val="en-GB"/>
        </w:rPr>
        <w:t xml:space="preserve"> may presumably be understood as an authorization of the main practitioner for deviating from Article 7 </w:t>
      </w:r>
      <w:r w:rsidRPr="00016E69">
        <w:rPr>
          <w:rFonts w:ascii="Garamond" w:hAnsi="Garamond"/>
          <w:sz w:val="24"/>
          <w:szCs w:val="24"/>
        </w:rPr>
        <w:t>EIR-R</w:t>
      </w:r>
      <w:r w:rsidRPr="00016E69">
        <w:rPr>
          <w:rFonts w:ascii="Garamond" w:hAnsi="Garamond" w:cs="Arial"/>
          <w:sz w:val="24"/>
          <w:szCs w:val="24"/>
          <w:lang w:val="en-GB"/>
        </w:rPr>
        <w:t xml:space="preserve">, i.e. the application of the </w:t>
      </w:r>
      <w:r w:rsidRPr="00016E69">
        <w:rPr>
          <w:rFonts w:ascii="Garamond" w:hAnsi="Garamond" w:cs="Arial"/>
          <w:i/>
          <w:sz w:val="24"/>
          <w:szCs w:val="24"/>
          <w:lang w:val="en-GB"/>
        </w:rPr>
        <w:t>lex fori concursus universalis</w:t>
      </w:r>
      <w:r w:rsidRPr="00016E69">
        <w:rPr>
          <w:rFonts w:ascii="Garamond" w:hAnsi="Garamond" w:cs="Arial"/>
          <w:sz w:val="24"/>
          <w:szCs w:val="24"/>
          <w:lang w:val="en-GB"/>
        </w:rPr>
        <w:t xml:space="preserve">. This exemption, however, shall be confined to distribution and priority rights. Therefore, the realization of the debtor’s assets located in the State of his establishment(s) will uniformly be governed by the </w:t>
      </w:r>
      <w:r w:rsidRPr="00016E69">
        <w:rPr>
          <w:rFonts w:ascii="Garamond" w:hAnsi="Garamond" w:cs="Arial"/>
          <w:i/>
          <w:sz w:val="24"/>
          <w:szCs w:val="24"/>
          <w:lang w:val="en-GB"/>
        </w:rPr>
        <w:t>lex fori concursus</w:t>
      </w:r>
      <w:r w:rsidRPr="00016E69">
        <w:rPr>
          <w:rFonts w:ascii="Garamond" w:hAnsi="Garamond" w:cs="Arial"/>
          <w:sz w:val="24"/>
          <w:szCs w:val="24"/>
          <w:lang w:val="en-GB"/>
        </w:rPr>
        <w:t>.</w:t>
      </w:r>
    </w:p>
    <w:p w14:paraId="4F207400" w14:textId="77777777" w:rsidR="009B70A1" w:rsidRPr="00016E69" w:rsidRDefault="009B70A1" w:rsidP="007837FC">
      <w:pPr>
        <w:spacing w:before="120" w:after="120"/>
        <w:jc w:val="both"/>
        <w:rPr>
          <w:rFonts w:ascii="Garamond" w:hAnsi="Garamond" w:cs="Arial"/>
          <w:sz w:val="24"/>
          <w:szCs w:val="24"/>
          <w:lang w:val="en-GB"/>
        </w:rPr>
      </w:pPr>
      <w:r w:rsidRPr="00016E69">
        <w:rPr>
          <w:rFonts w:ascii="Garamond" w:hAnsi="Garamond" w:cs="Arial"/>
          <w:sz w:val="24"/>
          <w:szCs w:val="24"/>
          <w:lang w:val="en-GB"/>
        </w:rPr>
        <w:t>According to Article 36(1) EIR-R, the scope of undertakings will be confined to the debtor’s assets situated</w:t>
      </w:r>
      <w:r w:rsidRPr="00016E69">
        <w:rPr>
          <w:rFonts w:ascii="Garamond" w:hAnsi="Garamond" w:cs="Arial"/>
          <w:sz w:val="24"/>
          <w:szCs w:val="24"/>
        </w:rPr>
        <w:t xml:space="preserve"> in the Member State(s) in which secondary proceedings could be initiated</w:t>
      </w:r>
      <w:r w:rsidRPr="00016E69">
        <w:rPr>
          <w:rFonts w:ascii="Garamond" w:hAnsi="Garamond" w:cs="Arial"/>
          <w:sz w:val="24"/>
          <w:szCs w:val="24"/>
          <w:lang w:val="en-GB"/>
        </w:rPr>
        <w:t xml:space="preserve">. At the same time, only (known) </w:t>
      </w:r>
      <w:r w:rsidRPr="00016E69">
        <w:rPr>
          <w:rFonts w:ascii="Garamond" w:hAnsi="Garamond" w:cs="Arial"/>
          <w:i/>
          <w:sz w:val="24"/>
          <w:szCs w:val="24"/>
          <w:lang w:val="en-GB"/>
        </w:rPr>
        <w:t>local</w:t>
      </w:r>
      <w:r w:rsidRPr="00016E69">
        <w:rPr>
          <w:rFonts w:ascii="Garamond" w:hAnsi="Garamond" w:cs="Arial"/>
          <w:sz w:val="24"/>
          <w:szCs w:val="24"/>
          <w:lang w:val="en-GB"/>
        </w:rPr>
        <w:t xml:space="preserve"> creditors, i.e. creditors whose claims against a debtor arose from or in connection with the operation of a foreign establishment, will explicitly be addressed by an undertaking. Yet, this does not mean that the local estate will be dedicated to local creditors only. </w:t>
      </w:r>
      <w:r w:rsidRPr="00016E69">
        <w:rPr>
          <w:rFonts w:ascii="Garamond" w:hAnsi="Garamond" w:cs="Arial"/>
          <w:sz w:val="24"/>
          <w:szCs w:val="24"/>
          <w:lang w:val="en-GB"/>
        </w:rPr>
        <w:lastRenderedPageBreak/>
        <w:t xml:space="preserve">Instead, those assets situated in the Member State in which secondary proceedings could be opened (including the proceeds received from their realization) shall form a sub-category of the insolvency estate (cf. recital 43 EIR-R) liable for </w:t>
      </w:r>
      <w:r w:rsidRPr="00016E69">
        <w:rPr>
          <w:rFonts w:ascii="Garamond" w:hAnsi="Garamond" w:cs="Arial"/>
          <w:i/>
          <w:sz w:val="24"/>
          <w:szCs w:val="24"/>
          <w:lang w:val="en-GB"/>
        </w:rPr>
        <w:t>both</w:t>
      </w:r>
      <w:r w:rsidRPr="00016E69">
        <w:rPr>
          <w:rFonts w:ascii="Garamond" w:hAnsi="Garamond" w:cs="Arial"/>
          <w:sz w:val="24"/>
          <w:szCs w:val="24"/>
          <w:lang w:val="en-GB"/>
        </w:rPr>
        <w:t xml:space="preserve"> local and other creditors, which otherwise would be entitled to lodge their claims in secondary proceedings according to Article 45 EIR-R.</w:t>
      </w:r>
    </w:p>
    <w:p w14:paraId="2B0F1332" w14:textId="77777777" w:rsidR="009B70A1" w:rsidRPr="00016E69" w:rsidRDefault="009B70A1" w:rsidP="007837FC">
      <w:pPr>
        <w:spacing w:before="120" w:after="120"/>
        <w:jc w:val="both"/>
        <w:rPr>
          <w:rFonts w:ascii="Garamond" w:hAnsi="Garamond" w:cs="Arial"/>
          <w:sz w:val="24"/>
          <w:szCs w:val="24"/>
          <w:lang w:val="en-GB"/>
        </w:rPr>
      </w:pPr>
      <w:r w:rsidRPr="00016E69">
        <w:rPr>
          <w:rFonts w:ascii="Garamond" w:hAnsi="Garamond" w:cs="Arial"/>
          <w:sz w:val="24"/>
          <w:szCs w:val="24"/>
          <w:lang w:val="en-GB"/>
        </w:rPr>
        <w:t xml:space="preserve">However, Article 36 EIR-R raises doubts as to whether or not the distribution and priority rights under the law of the Member State where secondary proceedings could be initiated should apply to </w:t>
      </w:r>
      <w:r w:rsidRPr="00016E69">
        <w:rPr>
          <w:rFonts w:ascii="Garamond" w:hAnsi="Garamond" w:cs="Arial"/>
          <w:i/>
          <w:sz w:val="24"/>
          <w:szCs w:val="24"/>
          <w:lang w:val="en-GB"/>
        </w:rPr>
        <w:t>all</w:t>
      </w:r>
      <w:r w:rsidRPr="00016E69">
        <w:rPr>
          <w:rFonts w:ascii="Garamond" w:hAnsi="Garamond" w:cs="Arial"/>
          <w:sz w:val="24"/>
          <w:szCs w:val="24"/>
          <w:lang w:val="en-GB"/>
        </w:rPr>
        <w:t xml:space="preserve"> creditors. Applying both universal and territorial insolvency law to the </w:t>
      </w:r>
      <w:r w:rsidRPr="00016E69">
        <w:rPr>
          <w:rFonts w:ascii="Garamond" w:hAnsi="Garamond" w:cs="Arial"/>
          <w:i/>
          <w:sz w:val="24"/>
          <w:szCs w:val="24"/>
          <w:lang w:val="en-GB"/>
        </w:rPr>
        <w:t>same</w:t>
      </w:r>
      <w:r w:rsidRPr="00016E69">
        <w:rPr>
          <w:rFonts w:ascii="Garamond" w:hAnsi="Garamond" w:cs="Arial"/>
          <w:sz w:val="24"/>
          <w:szCs w:val="24"/>
          <w:lang w:val="en-GB"/>
        </w:rPr>
        <w:t xml:space="preserve"> set of local assets would necessarily entail a conflict of laws, treating local and non-local creditors differently. </w:t>
      </w:r>
    </w:p>
    <w:p w14:paraId="7C602DEB" w14:textId="77777777" w:rsidR="009B70A1" w:rsidRPr="00016E69" w:rsidRDefault="009B70A1" w:rsidP="007837FC">
      <w:pPr>
        <w:spacing w:before="120" w:after="120"/>
        <w:jc w:val="both"/>
        <w:rPr>
          <w:rFonts w:ascii="Garamond" w:hAnsi="Garamond" w:cs="Arial"/>
          <w:sz w:val="24"/>
          <w:szCs w:val="24"/>
        </w:rPr>
      </w:pPr>
      <w:r w:rsidRPr="00016E69">
        <w:rPr>
          <w:rFonts w:ascii="Garamond" w:hAnsi="Garamond" w:cs="Arial"/>
          <w:sz w:val="24"/>
          <w:szCs w:val="24"/>
        </w:rPr>
        <w:t xml:space="preserve">The approved undertaking produces binding effects on the estate. The insolvency practitioner who is obliged to ensure compliance with the terms of the undertaking shall be liable for any damage caused to local creditors in that respect. </w:t>
      </w:r>
    </w:p>
    <w:p w14:paraId="10CE7886" w14:textId="77777777" w:rsidR="009B70A1" w:rsidRPr="00016E69" w:rsidRDefault="009B70A1" w:rsidP="007837FC">
      <w:pPr>
        <w:spacing w:before="120" w:after="120"/>
        <w:jc w:val="both"/>
        <w:rPr>
          <w:rFonts w:ascii="Garamond" w:hAnsi="Garamond" w:cs="Arial"/>
          <w:sz w:val="24"/>
          <w:szCs w:val="24"/>
          <w:lang w:val="en-GB"/>
        </w:rPr>
      </w:pPr>
      <w:r w:rsidRPr="00016E69">
        <w:rPr>
          <w:rFonts w:ascii="Garamond" w:hAnsi="Garamond" w:cs="Arial"/>
          <w:sz w:val="24"/>
          <w:szCs w:val="24"/>
        </w:rPr>
        <w:t xml:space="preserve">b) Secondly, the court seized to initiate secondary proceedings will, at the request of the </w:t>
      </w:r>
      <w:r w:rsidRPr="00016E69">
        <w:rPr>
          <w:rFonts w:ascii="Garamond" w:hAnsi="Garamond" w:cs="Arial"/>
          <w:sz w:val="24"/>
          <w:szCs w:val="24"/>
          <w:lang w:val="en-GB"/>
        </w:rPr>
        <w:t>main practitioner or the debtor in possession and subject to certain conditions, be empowered to stay their opening for a period not exceeding three months.</w:t>
      </w:r>
    </w:p>
    <w:p w14:paraId="5BF272BC" w14:textId="77777777" w:rsidR="00E845A6" w:rsidRPr="00016E69" w:rsidRDefault="00E845A6" w:rsidP="007837FC">
      <w:pPr>
        <w:spacing w:before="120" w:after="120"/>
        <w:jc w:val="both"/>
        <w:rPr>
          <w:rFonts w:ascii="Garamond" w:hAnsi="Garamond" w:cs="Arial"/>
          <w:sz w:val="24"/>
          <w:szCs w:val="24"/>
        </w:rPr>
      </w:pPr>
    </w:p>
    <w:p w14:paraId="7F289020" w14:textId="77777777" w:rsidR="009B70A1" w:rsidRPr="00C5128D" w:rsidRDefault="00D81DDF" w:rsidP="00CD7CD8">
      <w:pPr>
        <w:pStyle w:val="berschrift3"/>
        <w:rPr>
          <w:b/>
        </w:rPr>
      </w:pPr>
      <w:r w:rsidRPr="00C5128D">
        <w:t xml:space="preserve">II. </w:t>
      </w:r>
      <w:r w:rsidR="009B70A1" w:rsidRPr="00C5128D">
        <w:t>Questions</w:t>
      </w:r>
    </w:p>
    <w:p w14:paraId="522E292A" w14:textId="77777777" w:rsidR="009B70A1" w:rsidRPr="00016E69" w:rsidRDefault="009B70A1" w:rsidP="007837FC">
      <w:pPr>
        <w:spacing w:before="120" w:after="120"/>
        <w:jc w:val="both"/>
        <w:rPr>
          <w:rFonts w:ascii="Garamond" w:hAnsi="Garamond" w:cs="Arial"/>
          <w:sz w:val="24"/>
          <w:szCs w:val="24"/>
        </w:rPr>
      </w:pPr>
      <w:r w:rsidRPr="00016E69">
        <w:rPr>
          <w:rFonts w:ascii="Garamond" w:hAnsi="Garamond" w:cs="Arial"/>
          <w:sz w:val="24"/>
          <w:szCs w:val="24"/>
          <w:lang w:val="en-GB"/>
        </w:rPr>
        <w:t>In the light of the foregoing</w:t>
      </w:r>
      <w:r w:rsidRPr="00016E69">
        <w:rPr>
          <w:rFonts w:ascii="Garamond" w:hAnsi="Garamond" w:cs="Arial"/>
          <w:sz w:val="24"/>
          <w:szCs w:val="24"/>
        </w:rPr>
        <w:t>, reflections should take place on the following questions:</w:t>
      </w:r>
    </w:p>
    <w:p w14:paraId="4FEE0EBE" w14:textId="77777777" w:rsidR="009B70A1" w:rsidRPr="00714AC4" w:rsidRDefault="009B70A1" w:rsidP="00714AC4">
      <w:pPr>
        <w:pStyle w:val="Listenabsatz"/>
        <w:numPr>
          <w:ilvl w:val="0"/>
          <w:numId w:val="34"/>
        </w:numPr>
        <w:spacing w:before="120" w:after="120"/>
        <w:contextualSpacing w:val="0"/>
        <w:rPr>
          <w:rFonts w:cs="Garamond"/>
          <w:b/>
          <w:sz w:val="24"/>
          <w:szCs w:val="24"/>
          <w:lang w:val="en-US"/>
        </w:rPr>
      </w:pPr>
      <w:r w:rsidRPr="00714AC4">
        <w:rPr>
          <w:rFonts w:cs="Garamond"/>
          <w:b/>
          <w:sz w:val="24"/>
          <w:szCs w:val="24"/>
          <w:lang w:val="en-US"/>
        </w:rPr>
        <w:t>What obstacles, according to your opinion, may synthetic proceedings face</w:t>
      </w:r>
    </w:p>
    <w:p w14:paraId="7AB86ABB" w14:textId="77777777" w:rsidR="009B70A1" w:rsidRDefault="009B70A1" w:rsidP="007837FC">
      <w:pPr>
        <w:pStyle w:val="Listenabsatz"/>
        <w:numPr>
          <w:ilvl w:val="0"/>
          <w:numId w:val="11"/>
        </w:numPr>
        <w:spacing w:before="120" w:after="120" w:line="276" w:lineRule="auto"/>
        <w:ind w:left="1208" w:hanging="357"/>
        <w:contextualSpacing w:val="0"/>
        <w:rPr>
          <w:rFonts w:cs="Arial"/>
          <w:sz w:val="24"/>
          <w:szCs w:val="24"/>
          <w:lang w:val="en-US"/>
        </w:rPr>
      </w:pPr>
      <w:r w:rsidRPr="00016E69">
        <w:rPr>
          <w:rFonts w:cs="Arial"/>
          <w:sz w:val="24"/>
          <w:szCs w:val="24"/>
          <w:lang w:val="en-US"/>
        </w:rPr>
        <w:t>regarding the giving of an undertaking (e.g. the creditors’ approval);</w:t>
      </w:r>
    </w:p>
    <w:p w14:paraId="0FE394BA" w14:textId="77777777" w:rsidR="00201847" w:rsidRPr="00016E69" w:rsidRDefault="00201847" w:rsidP="00201847">
      <w:pPr>
        <w:pStyle w:val="Listenabsatz"/>
        <w:spacing w:before="120" w:after="120" w:line="276" w:lineRule="auto"/>
        <w:ind w:left="1208"/>
        <w:contextualSpacing w:val="0"/>
        <w:rPr>
          <w:rFonts w:cs="Arial"/>
          <w:sz w:val="24"/>
          <w:szCs w:val="24"/>
          <w:lang w:val="en-US"/>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28CD62BD" w14:textId="77777777" w:rsidR="009B70A1" w:rsidRDefault="009B70A1" w:rsidP="007837FC">
      <w:pPr>
        <w:pStyle w:val="Listenabsatz"/>
        <w:numPr>
          <w:ilvl w:val="0"/>
          <w:numId w:val="11"/>
        </w:numPr>
        <w:spacing w:before="120" w:after="120" w:line="276" w:lineRule="auto"/>
        <w:ind w:left="1208" w:hanging="357"/>
        <w:contextualSpacing w:val="0"/>
        <w:rPr>
          <w:rFonts w:cs="Arial"/>
          <w:sz w:val="24"/>
          <w:szCs w:val="24"/>
          <w:lang w:val="en-US"/>
        </w:rPr>
      </w:pPr>
      <w:proofErr w:type="gramStart"/>
      <w:r w:rsidRPr="00016E69">
        <w:rPr>
          <w:rFonts w:cs="Arial"/>
          <w:sz w:val="24"/>
          <w:szCs w:val="24"/>
          <w:lang w:val="en-US"/>
        </w:rPr>
        <w:t>regarding</w:t>
      </w:r>
      <w:proofErr w:type="gramEnd"/>
      <w:r w:rsidRPr="00016E69">
        <w:rPr>
          <w:rFonts w:cs="Arial"/>
          <w:sz w:val="24"/>
          <w:szCs w:val="24"/>
          <w:lang w:val="en-US"/>
        </w:rPr>
        <w:t xml:space="preserve"> the administration of synthetic proceedings?</w:t>
      </w:r>
    </w:p>
    <w:p w14:paraId="6A51A4DB" w14:textId="77777777" w:rsidR="00201847" w:rsidRPr="00016E69" w:rsidRDefault="00201847" w:rsidP="00201847">
      <w:pPr>
        <w:pStyle w:val="Listenabsatz"/>
        <w:spacing w:before="120" w:after="120" w:line="276" w:lineRule="auto"/>
        <w:ind w:left="1208"/>
        <w:contextualSpacing w:val="0"/>
        <w:rPr>
          <w:rFonts w:cs="Arial"/>
          <w:sz w:val="24"/>
          <w:szCs w:val="24"/>
          <w:lang w:val="en-US"/>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592E483D" w14:textId="77777777" w:rsidR="00C729AE" w:rsidRPr="00016E69" w:rsidRDefault="00C729AE" w:rsidP="00C729AE">
      <w:pPr>
        <w:pStyle w:val="Listenabsatz"/>
        <w:spacing w:before="120" w:after="120" w:line="276" w:lineRule="auto"/>
        <w:ind w:left="1208"/>
        <w:contextualSpacing w:val="0"/>
        <w:rPr>
          <w:rFonts w:cs="Arial"/>
          <w:sz w:val="24"/>
          <w:szCs w:val="24"/>
          <w:lang w:val="en-US"/>
        </w:rPr>
      </w:pPr>
    </w:p>
    <w:p w14:paraId="5F962E77" w14:textId="77777777" w:rsidR="009B70A1" w:rsidRPr="00714AC4" w:rsidRDefault="009B70A1" w:rsidP="00714AC4">
      <w:pPr>
        <w:pStyle w:val="Listenabsatz"/>
        <w:numPr>
          <w:ilvl w:val="0"/>
          <w:numId w:val="34"/>
        </w:numPr>
        <w:spacing w:before="120" w:after="120"/>
        <w:contextualSpacing w:val="0"/>
        <w:rPr>
          <w:rFonts w:cs="Garamond"/>
          <w:b/>
          <w:sz w:val="24"/>
          <w:szCs w:val="24"/>
          <w:lang w:val="en-US"/>
        </w:rPr>
      </w:pPr>
      <w:r w:rsidRPr="00714AC4">
        <w:rPr>
          <w:rFonts w:cs="Garamond"/>
          <w:b/>
          <w:sz w:val="24"/>
          <w:szCs w:val="24"/>
          <w:lang w:val="en-US"/>
        </w:rPr>
        <w:t>How do you rate the instrument of synthetic proceedings as regards</w:t>
      </w:r>
    </w:p>
    <w:p w14:paraId="1F81710F" w14:textId="77777777" w:rsidR="009B70A1" w:rsidRDefault="009B70A1" w:rsidP="007837FC">
      <w:pPr>
        <w:pStyle w:val="Listenabsatz"/>
        <w:numPr>
          <w:ilvl w:val="0"/>
          <w:numId w:val="13"/>
        </w:numPr>
        <w:spacing w:before="120" w:after="120" w:line="276" w:lineRule="auto"/>
        <w:ind w:left="1208" w:hanging="357"/>
        <w:contextualSpacing w:val="0"/>
        <w:rPr>
          <w:rFonts w:cs="Arial"/>
          <w:sz w:val="24"/>
          <w:szCs w:val="24"/>
          <w:lang w:val="en-US"/>
        </w:rPr>
      </w:pPr>
      <w:r w:rsidRPr="00016E69">
        <w:rPr>
          <w:rFonts w:cs="Arial"/>
          <w:sz w:val="24"/>
          <w:szCs w:val="24"/>
          <w:lang w:val="en-US"/>
        </w:rPr>
        <w:t>its objective to avoid of secondary proceedings;</w:t>
      </w:r>
    </w:p>
    <w:p w14:paraId="43DB2085" w14:textId="77777777" w:rsidR="00201847" w:rsidRPr="00016E69" w:rsidRDefault="00201847" w:rsidP="00201847">
      <w:pPr>
        <w:pStyle w:val="Listenabsatz"/>
        <w:spacing w:before="120" w:after="120" w:line="276" w:lineRule="auto"/>
        <w:ind w:left="1208"/>
        <w:contextualSpacing w:val="0"/>
        <w:rPr>
          <w:rFonts w:cs="Arial"/>
          <w:sz w:val="24"/>
          <w:szCs w:val="24"/>
          <w:lang w:val="en-US"/>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487B6083" w14:textId="77777777" w:rsidR="009B70A1" w:rsidRDefault="009B70A1" w:rsidP="007837FC">
      <w:pPr>
        <w:pStyle w:val="Listenabsatz"/>
        <w:numPr>
          <w:ilvl w:val="0"/>
          <w:numId w:val="13"/>
        </w:numPr>
        <w:spacing w:before="120" w:after="120" w:line="276" w:lineRule="auto"/>
        <w:ind w:left="1208" w:hanging="357"/>
        <w:contextualSpacing w:val="0"/>
        <w:rPr>
          <w:rFonts w:cs="Arial"/>
          <w:sz w:val="24"/>
          <w:szCs w:val="24"/>
          <w:lang w:val="en-US"/>
        </w:rPr>
      </w:pPr>
      <w:proofErr w:type="gramStart"/>
      <w:r w:rsidRPr="00016E69">
        <w:rPr>
          <w:rFonts w:cs="Arial"/>
          <w:sz w:val="24"/>
          <w:szCs w:val="24"/>
          <w:lang w:val="en-US"/>
        </w:rPr>
        <w:t>its</w:t>
      </w:r>
      <w:proofErr w:type="gramEnd"/>
      <w:r w:rsidRPr="00016E69">
        <w:rPr>
          <w:rFonts w:cs="Arial"/>
          <w:sz w:val="24"/>
          <w:szCs w:val="24"/>
          <w:lang w:val="en-US"/>
        </w:rPr>
        <w:t xml:space="preserve"> relevance in the context of corporate group insolvencies?</w:t>
      </w:r>
    </w:p>
    <w:p w14:paraId="40326565" w14:textId="77777777" w:rsidR="00201847" w:rsidRPr="00016E69" w:rsidRDefault="00201847" w:rsidP="00201847">
      <w:pPr>
        <w:pStyle w:val="Listenabsatz"/>
        <w:spacing w:before="120" w:after="120" w:line="276" w:lineRule="auto"/>
        <w:ind w:left="1208"/>
        <w:contextualSpacing w:val="0"/>
        <w:rPr>
          <w:rFonts w:cs="Arial"/>
          <w:sz w:val="24"/>
          <w:szCs w:val="24"/>
          <w:lang w:val="en-US"/>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6868AB6E" w14:textId="77777777" w:rsidR="00016E69" w:rsidRPr="00016E69" w:rsidRDefault="00016E69" w:rsidP="00016E69">
      <w:pPr>
        <w:pStyle w:val="Listenabsatz"/>
        <w:spacing w:before="120" w:after="120" w:line="276" w:lineRule="auto"/>
        <w:ind w:left="1208"/>
        <w:contextualSpacing w:val="0"/>
        <w:rPr>
          <w:rFonts w:cs="Arial"/>
          <w:sz w:val="24"/>
          <w:szCs w:val="24"/>
          <w:lang w:val="en-US"/>
        </w:rPr>
      </w:pPr>
    </w:p>
    <w:p w14:paraId="12858FB4" w14:textId="77777777" w:rsidR="009B70A1" w:rsidRPr="00714AC4" w:rsidRDefault="009B70A1" w:rsidP="00714AC4">
      <w:pPr>
        <w:pStyle w:val="Listenabsatz"/>
        <w:numPr>
          <w:ilvl w:val="0"/>
          <w:numId w:val="34"/>
        </w:numPr>
        <w:spacing w:before="120" w:after="120"/>
        <w:contextualSpacing w:val="0"/>
        <w:rPr>
          <w:rFonts w:cs="Garamond"/>
          <w:b/>
          <w:sz w:val="24"/>
          <w:szCs w:val="24"/>
          <w:lang w:val="en-US"/>
        </w:rPr>
      </w:pPr>
      <w:r w:rsidRPr="00714AC4">
        <w:rPr>
          <w:rFonts w:cs="Garamond"/>
          <w:b/>
          <w:sz w:val="24"/>
          <w:szCs w:val="24"/>
          <w:lang w:val="en-US"/>
        </w:rPr>
        <w:t>Regarding the temporary stay of the opening of secondary proceedings:</w:t>
      </w:r>
    </w:p>
    <w:p w14:paraId="28E69FB8" w14:textId="77777777" w:rsidR="009B70A1" w:rsidRPr="00016E69" w:rsidRDefault="009B70A1" w:rsidP="007837FC">
      <w:pPr>
        <w:pStyle w:val="Listenabsatz"/>
        <w:numPr>
          <w:ilvl w:val="0"/>
          <w:numId w:val="14"/>
        </w:numPr>
        <w:spacing w:before="120" w:after="120" w:line="276" w:lineRule="auto"/>
        <w:ind w:left="1208" w:hanging="357"/>
        <w:contextualSpacing w:val="0"/>
        <w:rPr>
          <w:rFonts w:cs="Arial"/>
          <w:sz w:val="24"/>
          <w:szCs w:val="24"/>
          <w:lang w:val="en-US"/>
        </w:rPr>
      </w:pPr>
      <w:r w:rsidRPr="00016E69">
        <w:rPr>
          <w:rFonts w:cs="Arial"/>
          <w:sz w:val="24"/>
          <w:szCs w:val="24"/>
          <w:lang w:val="en-US"/>
        </w:rPr>
        <w:t>Should the instrument of Article 38(3) subpara. 1 EIR Recast – so as to be more in line with the proposal’s key objective to avoid detrimental secondary proceedings – be extended to situations where the main insolvency practitioner has given or envisages giving an undertaking in the sense of Article 36 EIR Recast, which, however, has not been approved yet?</w:t>
      </w:r>
    </w:p>
    <w:p w14:paraId="328A1994" w14:textId="77777777" w:rsidR="001761A5" w:rsidRDefault="001761A5" w:rsidP="001761A5">
      <w:pPr>
        <w:pStyle w:val="Listenabsatz"/>
        <w:suppressAutoHyphens/>
        <w:spacing w:before="120" w:after="120"/>
        <w:ind w:left="851"/>
        <w:contextualSpacing w:val="0"/>
        <w:rPr>
          <w:rFonts w:cs="Garamond"/>
          <w:sz w:val="24"/>
          <w:szCs w:val="24"/>
          <w:lang w:val="en-US"/>
        </w:rPr>
      </w:pPr>
      <w:r w:rsidRPr="00E6129E">
        <w:rPr>
          <w:rFonts w:cs="Garamond"/>
          <w:sz w:val="24"/>
          <w:szCs w:val="24"/>
          <w:lang w:val="en-US"/>
        </w:rPr>
        <w:tab/>
      </w: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Pr="00016E69">
        <w:rPr>
          <w:rFonts w:cs="Garamond"/>
          <w:sz w:val="24"/>
          <w:szCs w:val="24"/>
          <w:lang w:val="en-US"/>
        </w:rPr>
        <w:t xml:space="preserve"> Yes. Please justify. </w:t>
      </w:r>
    </w:p>
    <w:p w14:paraId="77042465" w14:textId="77777777" w:rsidR="001761A5" w:rsidRPr="001761A5" w:rsidRDefault="001761A5" w:rsidP="001761A5">
      <w:pPr>
        <w:pStyle w:val="Listenabsatz"/>
        <w:spacing w:before="120" w:after="120" w:line="276" w:lineRule="auto"/>
        <w:ind w:left="1208"/>
        <w:contextualSpacing w:val="0"/>
        <w:rPr>
          <w:rFonts w:cs="Arial"/>
          <w:sz w:val="24"/>
          <w:szCs w:val="24"/>
          <w:lang w:val="en-US"/>
        </w:rPr>
      </w:pPr>
      <w:r w:rsidRPr="001761A5">
        <w:rPr>
          <w:rFonts w:cs="Arial"/>
          <w:sz w:val="24"/>
          <w:szCs w:val="24"/>
          <w:lang w:val="en-US"/>
        </w:rPr>
        <w:lastRenderedPageBreak/>
        <w:tab/>
      </w:r>
      <w:r w:rsidRPr="001761A5">
        <w:rPr>
          <w:rFonts w:cs="Arial"/>
          <w:sz w:val="24"/>
          <w:szCs w:val="24"/>
          <w:lang w:val="en-US"/>
        </w:rPr>
        <w:fldChar w:fldCharType="begin">
          <w:ffData>
            <w:name w:val="Text1"/>
            <w:enabled/>
            <w:calcOnExit w:val="0"/>
            <w:textInput/>
          </w:ffData>
        </w:fldChar>
      </w:r>
      <w:r w:rsidRPr="001761A5">
        <w:rPr>
          <w:rFonts w:cs="Arial"/>
          <w:sz w:val="24"/>
          <w:szCs w:val="24"/>
          <w:lang w:val="en-US"/>
        </w:rPr>
        <w:instrText xml:space="preserve"> FORMTEXT </w:instrText>
      </w:r>
      <w:r w:rsidRPr="001761A5">
        <w:rPr>
          <w:rFonts w:cs="Arial"/>
          <w:sz w:val="24"/>
          <w:szCs w:val="24"/>
          <w:lang w:val="en-US"/>
        </w:rPr>
      </w:r>
      <w:r w:rsidRPr="001761A5">
        <w:rPr>
          <w:rFonts w:cs="Arial"/>
          <w:sz w:val="24"/>
          <w:szCs w:val="24"/>
          <w:lang w:val="en-US"/>
        </w:rPr>
        <w:fldChar w:fldCharType="separate"/>
      </w:r>
      <w:r w:rsidRPr="001761A5">
        <w:rPr>
          <w:rFonts w:cs="Arial"/>
          <w:sz w:val="24"/>
          <w:szCs w:val="24"/>
          <w:lang w:val="en-US"/>
        </w:rPr>
        <w:t> </w:t>
      </w:r>
      <w:r w:rsidRPr="001761A5">
        <w:rPr>
          <w:rFonts w:cs="Arial"/>
          <w:sz w:val="24"/>
          <w:szCs w:val="24"/>
          <w:lang w:val="en-US"/>
        </w:rPr>
        <w:t> </w:t>
      </w:r>
      <w:r w:rsidRPr="001761A5">
        <w:rPr>
          <w:rFonts w:cs="Arial"/>
          <w:sz w:val="24"/>
          <w:szCs w:val="24"/>
          <w:lang w:val="en-US"/>
        </w:rPr>
        <w:t> </w:t>
      </w:r>
      <w:r w:rsidRPr="001761A5">
        <w:rPr>
          <w:rFonts w:cs="Arial"/>
          <w:sz w:val="24"/>
          <w:szCs w:val="24"/>
          <w:lang w:val="en-US"/>
        </w:rPr>
        <w:t> </w:t>
      </w:r>
      <w:r w:rsidRPr="001761A5">
        <w:rPr>
          <w:rFonts w:cs="Arial"/>
          <w:sz w:val="24"/>
          <w:szCs w:val="24"/>
          <w:lang w:val="en-US"/>
        </w:rPr>
        <w:t> </w:t>
      </w:r>
      <w:r w:rsidRPr="001761A5">
        <w:rPr>
          <w:rFonts w:cs="Arial"/>
          <w:sz w:val="24"/>
          <w:szCs w:val="24"/>
          <w:lang w:val="en-US"/>
        </w:rPr>
        <w:fldChar w:fldCharType="end"/>
      </w:r>
    </w:p>
    <w:p w14:paraId="74F52A87" w14:textId="77777777" w:rsidR="001761A5" w:rsidRDefault="001761A5" w:rsidP="001761A5">
      <w:pPr>
        <w:pStyle w:val="Listenabsatz"/>
        <w:suppressAutoHyphens/>
        <w:spacing w:before="120" w:after="120"/>
        <w:ind w:left="851"/>
        <w:contextualSpacing w:val="0"/>
        <w:rPr>
          <w:rFonts w:cs="Garamond"/>
          <w:sz w:val="24"/>
          <w:szCs w:val="24"/>
          <w:lang w:val="en-US"/>
        </w:rPr>
      </w:pPr>
      <w:r>
        <w:rPr>
          <w:rFonts w:cs="Garamond"/>
          <w:sz w:val="24"/>
          <w:szCs w:val="24"/>
        </w:rPr>
        <w:tab/>
      </w: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Pr="00016E69">
        <w:rPr>
          <w:rFonts w:cs="Garamond"/>
          <w:sz w:val="24"/>
          <w:szCs w:val="24"/>
          <w:lang w:val="en-US"/>
        </w:rPr>
        <w:t xml:space="preserve"> No. Please justify.</w:t>
      </w:r>
    </w:p>
    <w:p w14:paraId="7C6D7659" w14:textId="77777777" w:rsidR="001761A5" w:rsidRPr="001761A5" w:rsidRDefault="001761A5" w:rsidP="001761A5">
      <w:pPr>
        <w:pStyle w:val="Listenabsatz"/>
        <w:spacing w:before="120" w:after="120" w:line="276" w:lineRule="auto"/>
        <w:ind w:left="1208"/>
        <w:contextualSpacing w:val="0"/>
        <w:rPr>
          <w:rFonts w:cs="Arial"/>
          <w:sz w:val="24"/>
          <w:szCs w:val="24"/>
          <w:lang w:val="en-US"/>
        </w:rPr>
      </w:pPr>
      <w:r w:rsidRPr="001761A5">
        <w:rPr>
          <w:rFonts w:cs="Arial"/>
          <w:sz w:val="24"/>
          <w:szCs w:val="24"/>
          <w:lang w:val="en-US"/>
        </w:rPr>
        <w:tab/>
      </w:r>
      <w:r w:rsidRPr="001761A5">
        <w:rPr>
          <w:rFonts w:cs="Arial"/>
          <w:sz w:val="24"/>
          <w:szCs w:val="24"/>
          <w:lang w:val="en-US"/>
        </w:rPr>
        <w:fldChar w:fldCharType="begin">
          <w:ffData>
            <w:name w:val="Text1"/>
            <w:enabled/>
            <w:calcOnExit w:val="0"/>
            <w:textInput/>
          </w:ffData>
        </w:fldChar>
      </w:r>
      <w:r w:rsidRPr="001761A5">
        <w:rPr>
          <w:rFonts w:cs="Arial"/>
          <w:sz w:val="24"/>
          <w:szCs w:val="24"/>
          <w:lang w:val="en-US"/>
        </w:rPr>
        <w:instrText xml:space="preserve"> FORMTEXT </w:instrText>
      </w:r>
      <w:r w:rsidRPr="001761A5">
        <w:rPr>
          <w:rFonts w:cs="Arial"/>
          <w:sz w:val="24"/>
          <w:szCs w:val="24"/>
          <w:lang w:val="en-US"/>
        </w:rPr>
      </w:r>
      <w:r w:rsidRPr="001761A5">
        <w:rPr>
          <w:rFonts w:cs="Arial"/>
          <w:sz w:val="24"/>
          <w:szCs w:val="24"/>
          <w:lang w:val="en-US"/>
        </w:rPr>
        <w:fldChar w:fldCharType="separate"/>
      </w:r>
      <w:r w:rsidRPr="001761A5">
        <w:rPr>
          <w:rFonts w:cs="Arial"/>
          <w:sz w:val="24"/>
          <w:szCs w:val="24"/>
          <w:lang w:val="en-US"/>
        </w:rPr>
        <w:t> </w:t>
      </w:r>
      <w:r w:rsidRPr="001761A5">
        <w:rPr>
          <w:rFonts w:cs="Arial"/>
          <w:sz w:val="24"/>
          <w:szCs w:val="24"/>
          <w:lang w:val="en-US"/>
        </w:rPr>
        <w:t> </w:t>
      </w:r>
      <w:r w:rsidRPr="001761A5">
        <w:rPr>
          <w:rFonts w:cs="Arial"/>
          <w:sz w:val="24"/>
          <w:szCs w:val="24"/>
          <w:lang w:val="en-US"/>
        </w:rPr>
        <w:t> </w:t>
      </w:r>
      <w:r w:rsidRPr="001761A5">
        <w:rPr>
          <w:rFonts w:cs="Arial"/>
          <w:sz w:val="24"/>
          <w:szCs w:val="24"/>
          <w:lang w:val="en-US"/>
        </w:rPr>
        <w:t> </w:t>
      </w:r>
      <w:r w:rsidRPr="001761A5">
        <w:rPr>
          <w:rFonts w:cs="Arial"/>
          <w:sz w:val="24"/>
          <w:szCs w:val="24"/>
          <w:lang w:val="en-US"/>
        </w:rPr>
        <w:t> </w:t>
      </w:r>
      <w:r w:rsidRPr="001761A5">
        <w:rPr>
          <w:rFonts w:cs="Arial"/>
          <w:sz w:val="24"/>
          <w:szCs w:val="24"/>
          <w:lang w:val="en-US"/>
        </w:rPr>
        <w:fldChar w:fldCharType="end"/>
      </w:r>
    </w:p>
    <w:p w14:paraId="0E623789" w14:textId="77777777" w:rsidR="00764019" w:rsidRPr="00016E69" w:rsidRDefault="00764019" w:rsidP="00201847">
      <w:pPr>
        <w:pStyle w:val="Listenabsatz"/>
        <w:spacing w:before="120" w:after="120" w:line="276" w:lineRule="auto"/>
        <w:ind w:left="1491"/>
        <w:contextualSpacing w:val="0"/>
        <w:rPr>
          <w:rFonts w:cs="Arial"/>
          <w:sz w:val="24"/>
          <w:szCs w:val="24"/>
          <w:lang w:val="en-US"/>
        </w:rPr>
      </w:pPr>
    </w:p>
    <w:p w14:paraId="68F93857" w14:textId="77777777" w:rsidR="009B70A1" w:rsidRPr="00016E69" w:rsidRDefault="009B70A1" w:rsidP="007837FC">
      <w:pPr>
        <w:pStyle w:val="Listenabsatz"/>
        <w:numPr>
          <w:ilvl w:val="0"/>
          <w:numId w:val="14"/>
        </w:numPr>
        <w:spacing w:before="120" w:after="120" w:line="276" w:lineRule="auto"/>
        <w:ind w:left="1208" w:hanging="357"/>
        <w:contextualSpacing w:val="0"/>
        <w:rPr>
          <w:rFonts w:cs="Arial"/>
          <w:sz w:val="24"/>
          <w:szCs w:val="24"/>
          <w:lang w:val="en-US"/>
        </w:rPr>
      </w:pPr>
      <w:r w:rsidRPr="00016E69">
        <w:rPr>
          <w:rFonts w:cs="Arial"/>
          <w:sz w:val="24"/>
          <w:szCs w:val="24"/>
          <w:lang w:val="en-US"/>
        </w:rPr>
        <w:t>If (a) is answered in the affirmative, should this instrument include the judicial power to close secondary proceedings at the request of the main practitioner once an undertaking, meeting the conditions under Article 38(2) EIR Recast, has been approved according to Article 36 EIR Recast?</w:t>
      </w:r>
    </w:p>
    <w:p w14:paraId="3BF35CF0" w14:textId="77777777" w:rsidR="001B314E" w:rsidRDefault="001B314E" w:rsidP="001B314E">
      <w:pPr>
        <w:pStyle w:val="Listenabsatz"/>
        <w:suppressAutoHyphens/>
        <w:spacing w:before="120" w:after="120"/>
        <w:ind w:left="851"/>
        <w:contextualSpacing w:val="0"/>
        <w:rPr>
          <w:rFonts w:cs="Garamond"/>
          <w:sz w:val="24"/>
          <w:szCs w:val="24"/>
          <w:lang w:val="en-US"/>
        </w:rPr>
      </w:pPr>
      <w:r w:rsidRPr="00E6129E">
        <w:rPr>
          <w:rFonts w:cs="Garamond"/>
          <w:sz w:val="24"/>
          <w:szCs w:val="24"/>
          <w:lang w:val="en-US"/>
        </w:rPr>
        <w:tab/>
      </w: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Pr="00016E69">
        <w:rPr>
          <w:rFonts w:cs="Garamond"/>
          <w:sz w:val="24"/>
          <w:szCs w:val="24"/>
          <w:lang w:val="en-US"/>
        </w:rPr>
        <w:t xml:space="preserve"> Yes. Please justify. </w:t>
      </w:r>
    </w:p>
    <w:p w14:paraId="02413C48" w14:textId="77777777" w:rsidR="001B314E" w:rsidRPr="001761A5" w:rsidRDefault="001B314E" w:rsidP="001B314E">
      <w:pPr>
        <w:pStyle w:val="Listenabsatz"/>
        <w:spacing w:before="120" w:after="120" w:line="276" w:lineRule="auto"/>
        <w:ind w:left="1208"/>
        <w:contextualSpacing w:val="0"/>
        <w:rPr>
          <w:rFonts w:cs="Arial"/>
          <w:sz w:val="24"/>
          <w:szCs w:val="24"/>
          <w:lang w:val="en-US"/>
        </w:rPr>
      </w:pPr>
      <w:r w:rsidRPr="001761A5">
        <w:rPr>
          <w:rFonts w:cs="Arial"/>
          <w:sz w:val="24"/>
          <w:szCs w:val="24"/>
          <w:lang w:val="en-US"/>
        </w:rPr>
        <w:tab/>
      </w:r>
      <w:r w:rsidRPr="001761A5">
        <w:rPr>
          <w:rFonts w:cs="Arial"/>
          <w:sz w:val="24"/>
          <w:szCs w:val="24"/>
          <w:lang w:val="en-US"/>
        </w:rPr>
        <w:fldChar w:fldCharType="begin">
          <w:ffData>
            <w:name w:val="Text1"/>
            <w:enabled/>
            <w:calcOnExit w:val="0"/>
            <w:textInput/>
          </w:ffData>
        </w:fldChar>
      </w:r>
      <w:r w:rsidRPr="001761A5">
        <w:rPr>
          <w:rFonts w:cs="Arial"/>
          <w:sz w:val="24"/>
          <w:szCs w:val="24"/>
          <w:lang w:val="en-US"/>
        </w:rPr>
        <w:instrText xml:space="preserve"> FORMTEXT </w:instrText>
      </w:r>
      <w:r w:rsidRPr="001761A5">
        <w:rPr>
          <w:rFonts w:cs="Arial"/>
          <w:sz w:val="24"/>
          <w:szCs w:val="24"/>
          <w:lang w:val="en-US"/>
        </w:rPr>
      </w:r>
      <w:r w:rsidRPr="001761A5">
        <w:rPr>
          <w:rFonts w:cs="Arial"/>
          <w:sz w:val="24"/>
          <w:szCs w:val="24"/>
          <w:lang w:val="en-US"/>
        </w:rPr>
        <w:fldChar w:fldCharType="separate"/>
      </w:r>
      <w:r w:rsidRPr="001761A5">
        <w:rPr>
          <w:rFonts w:cs="Arial"/>
          <w:sz w:val="24"/>
          <w:szCs w:val="24"/>
          <w:lang w:val="en-US"/>
        </w:rPr>
        <w:t> </w:t>
      </w:r>
      <w:r w:rsidRPr="001761A5">
        <w:rPr>
          <w:rFonts w:cs="Arial"/>
          <w:sz w:val="24"/>
          <w:szCs w:val="24"/>
          <w:lang w:val="en-US"/>
        </w:rPr>
        <w:t> </w:t>
      </w:r>
      <w:r w:rsidRPr="001761A5">
        <w:rPr>
          <w:rFonts w:cs="Arial"/>
          <w:sz w:val="24"/>
          <w:szCs w:val="24"/>
          <w:lang w:val="en-US"/>
        </w:rPr>
        <w:t> </w:t>
      </w:r>
      <w:r w:rsidRPr="001761A5">
        <w:rPr>
          <w:rFonts w:cs="Arial"/>
          <w:sz w:val="24"/>
          <w:szCs w:val="24"/>
          <w:lang w:val="en-US"/>
        </w:rPr>
        <w:t> </w:t>
      </w:r>
      <w:r w:rsidRPr="001761A5">
        <w:rPr>
          <w:rFonts w:cs="Arial"/>
          <w:sz w:val="24"/>
          <w:szCs w:val="24"/>
          <w:lang w:val="en-US"/>
        </w:rPr>
        <w:t> </w:t>
      </w:r>
      <w:r w:rsidRPr="001761A5">
        <w:rPr>
          <w:rFonts w:cs="Arial"/>
          <w:sz w:val="24"/>
          <w:szCs w:val="24"/>
          <w:lang w:val="en-US"/>
        </w:rPr>
        <w:fldChar w:fldCharType="end"/>
      </w:r>
    </w:p>
    <w:p w14:paraId="1BB24883" w14:textId="77777777" w:rsidR="001B314E" w:rsidRDefault="001B314E" w:rsidP="001B314E">
      <w:pPr>
        <w:pStyle w:val="Listenabsatz"/>
        <w:suppressAutoHyphens/>
        <w:spacing w:before="120" w:after="120"/>
        <w:ind w:left="851"/>
        <w:contextualSpacing w:val="0"/>
        <w:rPr>
          <w:rFonts w:cs="Garamond"/>
          <w:sz w:val="24"/>
          <w:szCs w:val="24"/>
          <w:lang w:val="en-US"/>
        </w:rPr>
      </w:pPr>
      <w:r>
        <w:rPr>
          <w:rFonts w:cs="Garamond"/>
          <w:sz w:val="24"/>
          <w:szCs w:val="24"/>
        </w:rPr>
        <w:tab/>
      </w: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Pr="00016E69">
        <w:rPr>
          <w:rFonts w:cs="Garamond"/>
          <w:sz w:val="24"/>
          <w:szCs w:val="24"/>
          <w:lang w:val="en-US"/>
        </w:rPr>
        <w:t xml:space="preserve"> No. Please justify.</w:t>
      </w:r>
    </w:p>
    <w:p w14:paraId="21947F78" w14:textId="77777777" w:rsidR="001B314E" w:rsidRPr="001761A5" w:rsidRDefault="001B314E" w:rsidP="001B314E">
      <w:pPr>
        <w:pStyle w:val="Listenabsatz"/>
        <w:spacing w:before="120" w:after="120" w:line="276" w:lineRule="auto"/>
        <w:ind w:left="1208"/>
        <w:contextualSpacing w:val="0"/>
        <w:rPr>
          <w:rFonts w:cs="Arial"/>
          <w:sz w:val="24"/>
          <w:szCs w:val="24"/>
          <w:lang w:val="en-US"/>
        </w:rPr>
      </w:pPr>
      <w:r w:rsidRPr="001761A5">
        <w:rPr>
          <w:rFonts w:cs="Arial"/>
          <w:sz w:val="24"/>
          <w:szCs w:val="24"/>
          <w:lang w:val="en-US"/>
        </w:rPr>
        <w:tab/>
      </w:r>
      <w:r w:rsidRPr="001761A5">
        <w:rPr>
          <w:rFonts w:cs="Arial"/>
          <w:sz w:val="24"/>
          <w:szCs w:val="24"/>
          <w:lang w:val="en-US"/>
        </w:rPr>
        <w:fldChar w:fldCharType="begin">
          <w:ffData>
            <w:name w:val="Text1"/>
            <w:enabled/>
            <w:calcOnExit w:val="0"/>
            <w:textInput/>
          </w:ffData>
        </w:fldChar>
      </w:r>
      <w:r w:rsidRPr="001761A5">
        <w:rPr>
          <w:rFonts w:cs="Arial"/>
          <w:sz w:val="24"/>
          <w:szCs w:val="24"/>
          <w:lang w:val="en-US"/>
        </w:rPr>
        <w:instrText xml:space="preserve"> FORMTEXT </w:instrText>
      </w:r>
      <w:r w:rsidRPr="001761A5">
        <w:rPr>
          <w:rFonts w:cs="Arial"/>
          <w:sz w:val="24"/>
          <w:szCs w:val="24"/>
          <w:lang w:val="en-US"/>
        </w:rPr>
      </w:r>
      <w:r w:rsidRPr="001761A5">
        <w:rPr>
          <w:rFonts w:cs="Arial"/>
          <w:sz w:val="24"/>
          <w:szCs w:val="24"/>
          <w:lang w:val="en-US"/>
        </w:rPr>
        <w:fldChar w:fldCharType="separate"/>
      </w:r>
      <w:r w:rsidRPr="001761A5">
        <w:rPr>
          <w:rFonts w:cs="Arial"/>
          <w:sz w:val="24"/>
          <w:szCs w:val="24"/>
          <w:lang w:val="en-US"/>
        </w:rPr>
        <w:t> </w:t>
      </w:r>
      <w:r w:rsidRPr="001761A5">
        <w:rPr>
          <w:rFonts w:cs="Arial"/>
          <w:sz w:val="24"/>
          <w:szCs w:val="24"/>
          <w:lang w:val="en-US"/>
        </w:rPr>
        <w:t> </w:t>
      </w:r>
      <w:r w:rsidRPr="001761A5">
        <w:rPr>
          <w:rFonts w:cs="Arial"/>
          <w:sz w:val="24"/>
          <w:szCs w:val="24"/>
          <w:lang w:val="en-US"/>
        </w:rPr>
        <w:t> </w:t>
      </w:r>
      <w:r w:rsidRPr="001761A5">
        <w:rPr>
          <w:rFonts w:cs="Arial"/>
          <w:sz w:val="24"/>
          <w:szCs w:val="24"/>
          <w:lang w:val="en-US"/>
        </w:rPr>
        <w:t> </w:t>
      </w:r>
      <w:r w:rsidRPr="001761A5">
        <w:rPr>
          <w:rFonts w:cs="Arial"/>
          <w:sz w:val="24"/>
          <w:szCs w:val="24"/>
          <w:lang w:val="en-US"/>
        </w:rPr>
        <w:t> </w:t>
      </w:r>
      <w:r w:rsidRPr="001761A5">
        <w:rPr>
          <w:rFonts w:cs="Arial"/>
          <w:sz w:val="24"/>
          <w:szCs w:val="24"/>
          <w:lang w:val="en-US"/>
        </w:rPr>
        <w:fldChar w:fldCharType="end"/>
      </w:r>
    </w:p>
    <w:p w14:paraId="58EAD9B6" w14:textId="77777777" w:rsidR="002C6D9A" w:rsidRDefault="002C6D9A" w:rsidP="00201847">
      <w:pPr>
        <w:pStyle w:val="Listenabsatz"/>
        <w:spacing w:before="120" w:after="120" w:line="276" w:lineRule="auto"/>
        <w:ind w:left="1491"/>
        <w:contextualSpacing w:val="0"/>
        <w:rPr>
          <w:rFonts w:cs="Arial"/>
          <w:sz w:val="24"/>
          <w:szCs w:val="24"/>
          <w:lang w:val="en-US"/>
        </w:rPr>
      </w:pPr>
    </w:p>
    <w:p w14:paraId="44AF0105" w14:textId="77777777" w:rsidR="000B28E2" w:rsidRPr="00016E69" w:rsidRDefault="000B28E2" w:rsidP="00201847">
      <w:pPr>
        <w:pStyle w:val="Listenabsatz"/>
        <w:spacing w:before="120" w:after="120" w:line="276" w:lineRule="auto"/>
        <w:ind w:left="1491"/>
        <w:contextualSpacing w:val="0"/>
        <w:rPr>
          <w:rFonts w:cs="Arial"/>
          <w:sz w:val="24"/>
          <w:szCs w:val="24"/>
          <w:lang w:val="en-US"/>
        </w:rPr>
      </w:pPr>
    </w:p>
    <w:p w14:paraId="08C6F7DC" w14:textId="77777777" w:rsidR="00D95118" w:rsidRPr="005D2365" w:rsidRDefault="00126ECF" w:rsidP="00CD7CD8">
      <w:pPr>
        <w:pStyle w:val="berschrift1"/>
      </w:pPr>
      <w:r w:rsidRPr="005D2365">
        <w:t>B</w:t>
      </w:r>
      <w:r w:rsidR="009B70A1" w:rsidRPr="005D2365">
        <w:t>. Cooperation and communication between courts and/or insolvency practitioners</w:t>
      </w:r>
      <w:bookmarkStart w:id="10" w:name="_Toc415476067"/>
    </w:p>
    <w:p w14:paraId="541F5AA2" w14:textId="77777777" w:rsidR="009B70A1" w:rsidRPr="00D95118" w:rsidRDefault="00D95118" w:rsidP="00CD7CD8">
      <w:pPr>
        <w:pStyle w:val="berschrift3"/>
        <w:rPr>
          <w:b/>
        </w:rPr>
      </w:pPr>
      <w:r w:rsidRPr="00D95118">
        <w:t>I. R</w:t>
      </w:r>
      <w:r w:rsidR="009B70A1" w:rsidRPr="00D95118">
        <w:t>eform</w:t>
      </w:r>
      <w:bookmarkEnd w:id="10"/>
    </w:p>
    <w:p w14:paraId="51E4DD08" w14:textId="77777777" w:rsidR="009B70A1" w:rsidRPr="00016E69" w:rsidRDefault="009B70A1" w:rsidP="007837FC">
      <w:pPr>
        <w:spacing w:before="120" w:after="120"/>
        <w:jc w:val="both"/>
        <w:rPr>
          <w:rFonts w:ascii="Garamond" w:hAnsi="Garamond"/>
          <w:sz w:val="24"/>
          <w:szCs w:val="24"/>
        </w:rPr>
      </w:pPr>
      <w:r w:rsidRPr="00016E69">
        <w:rPr>
          <w:rFonts w:ascii="Garamond" w:hAnsi="Garamond"/>
          <w:sz w:val="24"/>
          <w:szCs w:val="24"/>
        </w:rPr>
        <w:t>Under the new regulation a new provision instructs the insolvency practitioners to communicate and cooperate among them in order to facilitate the coordination of main and territorial or secondary insolvency proceedings concerning the same debtor (Article 41 EIR-R), as well as in cases of insolvency proceedings relating to two or more members of a group of companies (Article 56 EIR-R). The provisions are quite similar: they are both subject to the requirement that cooperation does not run against the rules applicable to the proceedings; additional caveats are added in the case of insolvency of group of companies. Within the framework of those restrictions cooperation may take any form, including the conclusion of agreements or protocols, and some specific actions are proposed to the IPs.</w:t>
      </w:r>
    </w:p>
    <w:p w14:paraId="54005020" w14:textId="77777777" w:rsidR="009B70A1" w:rsidRPr="00016E69" w:rsidRDefault="009B70A1" w:rsidP="007837FC">
      <w:pPr>
        <w:spacing w:before="120" w:after="120"/>
        <w:jc w:val="both"/>
        <w:rPr>
          <w:rFonts w:ascii="Garamond" w:hAnsi="Garamond"/>
          <w:sz w:val="24"/>
          <w:szCs w:val="24"/>
        </w:rPr>
      </w:pPr>
      <w:r w:rsidRPr="00016E69">
        <w:rPr>
          <w:rFonts w:ascii="Garamond" w:hAnsi="Garamond"/>
          <w:sz w:val="24"/>
          <w:szCs w:val="24"/>
        </w:rPr>
        <w:t xml:space="preserve">Two additional rules establish the duty to cooperate and communicate regarding the courts involved in proceedings concerning the same debtor (Article 42 EIR-R), or members of the same group of companies (Article 57 EIR-R). Both provisions are subject to the conditions that cooperation does not run against the rules applicable to the proceedings, provide for the same examples of means of cooperation, and are also identical regarding their scope. Again, additional caveats are added in the case of insolvency of group of companies. </w:t>
      </w:r>
    </w:p>
    <w:p w14:paraId="2B0EBBC2" w14:textId="77777777" w:rsidR="009B70A1" w:rsidRPr="00016E69" w:rsidRDefault="009B70A1" w:rsidP="007837FC">
      <w:pPr>
        <w:spacing w:before="120" w:after="120"/>
        <w:jc w:val="both"/>
        <w:rPr>
          <w:rFonts w:ascii="Garamond" w:hAnsi="Garamond"/>
          <w:sz w:val="24"/>
          <w:szCs w:val="24"/>
        </w:rPr>
      </w:pPr>
      <w:r w:rsidRPr="00016E69">
        <w:rPr>
          <w:rFonts w:ascii="Garamond" w:hAnsi="Garamond"/>
          <w:sz w:val="24"/>
          <w:szCs w:val="24"/>
        </w:rPr>
        <w:t>An equally new provision introduces the insolvency practitioners</w:t>
      </w:r>
      <w:r w:rsidR="00016E69" w:rsidRPr="00016E69">
        <w:rPr>
          <w:rFonts w:ascii="Garamond" w:hAnsi="Garamond"/>
          <w:sz w:val="24"/>
          <w:szCs w:val="24"/>
        </w:rPr>
        <w:t xml:space="preserve">’ </w:t>
      </w:r>
      <w:r w:rsidR="00016E69" w:rsidRPr="00016E69">
        <w:rPr>
          <w:rFonts w:ascii="Garamond" w:hAnsi="Garamond"/>
          <w:sz w:val="24"/>
          <w:szCs w:val="24"/>
          <w:lang w:val="en-GB"/>
        </w:rPr>
        <w:t xml:space="preserve">duty </w:t>
      </w:r>
      <w:r w:rsidRPr="00016E69">
        <w:rPr>
          <w:rFonts w:ascii="Garamond" w:hAnsi="Garamond"/>
          <w:sz w:val="24"/>
          <w:szCs w:val="24"/>
        </w:rPr>
        <w:t xml:space="preserve"> to cooperate and communicate with a court before which a request to open another insolvency proceedings is pending, or which has already opened such proceedings, in order to facilitate the coordination of main, territorial and secondary insolvency proceedings affecting the same debtor (Article 43 EIR-R). A similar provision</w:t>
      </w:r>
      <w:r w:rsidR="00D84D1F" w:rsidRPr="00016E69">
        <w:rPr>
          <w:rFonts w:ascii="Garamond" w:hAnsi="Garamond"/>
          <w:sz w:val="24"/>
          <w:szCs w:val="24"/>
        </w:rPr>
        <w:t xml:space="preserve"> </w:t>
      </w:r>
      <w:r w:rsidRPr="00016E69">
        <w:rPr>
          <w:rFonts w:ascii="Garamond" w:hAnsi="Garamond"/>
          <w:sz w:val="24"/>
          <w:szCs w:val="24"/>
        </w:rPr>
        <w:t xml:space="preserve">exists for the case of the insolvency of members of a group of </w:t>
      </w:r>
      <w:r w:rsidRPr="00016E69">
        <w:rPr>
          <w:rFonts w:ascii="Garamond" w:hAnsi="Garamond"/>
          <w:sz w:val="24"/>
          <w:szCs w:val="24"/>
        </w:rPr>
        <w:lastRenderedPageBreak/>
        <w:t>companies, subject to the same restrictions as the rule related to court-court coordination (Article 58 EIR-R).</w:t>
      </w:r>
    </w:p>
    <w:p w14:paraId="6F45DD09" w14:textId="77777777" w:rsidR="00D95118" w:rsidRDefault="009B70A1" w:rsidP="00D95118">
      <w:pPr>
        <w:spacing w:before="120" w:after="120"/>
        <w:jc w:val="both"/>
        <w:rPr>
          <w:rFonts w:ascii="Garamond" w:hAnsi="Garamond"/>
          <w:sz w:val="24"/>
          <w:szCs w:val="24"/>
        </w:rPr>
      </w:pPr>
      <w:r w:rsidRPr="00016E69">
        <w:rPr>
          <w:rFonts w:ascii="Garamond" w:hAnsi="Garamond"/>
          <w:sz w:val="24"/>
          <w:szCs w:val="24"/>
        </w:rPr>
        <w:t>According to recital 48 EIR-R, in their cooperation insolvency practitioners and courts should take into account best practices set out in principles and guidelines adopted by European and international organizations active in the area of insolvency law and in particular those prepared by UNCITRAL. Recital 49 EIR-R adds the possibility of entering into agreements and protocols.</w:t>
      </w:r>
    </w:p>
    <w:p w14:paraId="663DA11F" w14:textId="77777777" w:rsidR="000437F1" w:rsidRDefault="000437F1" w:rsidP="00D95118">
      <w:pPr>
        <w:spacing w:before="120" w:after="120"/>
        <w:jc w:val="both"/>
        <w:rPr>
          <w:rFonts w:ascii="Garamond" w:hAnsi="Garamond"/>
          <w:i/>
          <w:sz w:val="28"/>
          <w:szCs w:val="28"/>
        </w:rPr>
      </w:pPr>
    </w:p>
    <w:p w14:paraId="655B1008" w14:textId="77777777" w:rsidR="009B70A1" w:rsidRPr="000437F1" w:rsidRDefault="00D95118" w:rsidP="00CD7CD8">
      <w:pPr>
        <w:pStyle w:val="berschrift3"/>
      </w:pPr>
      <w:r w:rsidRPr="000437F1">
        <w:t xml:space="preserve">II. </w:t>
      </w:r>
      <w:r w:rsidR="009B70A1" w:rsidRPr="000437F1">
        <w:t>Questions</w:t>
      </w:r>
    </w:p>
    <w:p w14:paraId="7182E0B7" w14:textId="77777777" w:rsidR="009B70A1" w:rsidRDefault="009B70A1" w:rsidP="00D71CB7">
      <w:pPr>
        <w:pStyle w:val="Listenabsatz"/>
        <w:numPr>
          <w:ilvl w:val="0"/>
          <w:numId w:val="40"/>
        </w:numPr>
        <w:spacing w:before="120" w:after="120" w:line="276" w:lineRule="auto"/>
        <w:contextualSpacing w:val="0"/>
        <w:rPr>
          <w:b/>
          <w:color w:val="000000"/>
          <w:sz w:val="24"/>
          <w:szCs w:val="24"/>
          <w:lang w:val="en-US"/>
        </w:rPr>
      </w:pPr>
      <w:r w:rsidRPr="00D71CB7">
        <w:rPr>
          <w:rFonts w:cs="Garamond"/>
          <w:b/>
          <w:sz w:val="24"/>
          <w:szCs w:val="24"/>
          <w:lang w:val="en-US"/>
        </w:rPr>
        <w:t>Have you ever been involved in a cross-border insolvency case where attempts to</w:t>
      </w:r>
      <w:r w:rsidRPr="00016E69">
        <w:rPr>
          <w:b/>
          <w:sz w:val="24"/>
          <w:szCs w:val="24"/>
          <w:lang w:val="en-US"/>
        </w:rPr>
        <w:t xml:space="preserve"> cooperate (insolvency practitioners</w:t>
      </w:r>
      <w:r w:rsidRPr="00016E69" w:rsidDel="00C11BF0">
        <w:rPr>
          <w:b/>
          <w:sz w:val="24"/>
          <w:szCs w:val="24"/>
          <w:lang w:val="en-US"/>
        </w:rPr>
        <w:t xml:space="preserve"> </w:t>
      </w:r>
      <w:r w:rsidRPr="00016E69">
        <w:rPr>
          <w:b/>
          <w:sz w:val="24"/>
          <w:szCs w:val="24"/>
          <w:lang w:val="en-US"/>
        </w:rPr>
        <w:t>-to- insolvency practitioners, court-to-court and court- insolvency practitioners) were made, or are you aware of any attempt of the kind within your jurisdiction? If yes, were they successful (in case of a negative answer please explain why)?</w:t>
      </w:r>
      <w:r w:rsidR="003269DF">
        <w:rPr>
          <w:b/>
          <w:sz w:val="24"/>
          <w:szCs w:val="24"/>
          <w:lang w:val="en-US"/>
        </w:rPr>
        <w:t xml:space="preserve"> </w:t>
      </w:r>
      <w:r w:rsidRPr="00016E69">
        <w:rPr>
          <w:b/>
          <w:color w:val="000000"/>
          <w:sz w:val="24"/>
          <w:szCs w:val="24"/>
          <w:lang w:val="en-US"/>
        </w:rPr>
        <w:t>Is it realistic to expect the current situation to improve after the Regulation enters into force?</w:t>
      </w:r>
    </w:p>
    <w:p w14:paraId="44F3B634" w14:textId="77777777" w:rsidR="00016E69" w:rsidRDefault="00201847" w:rsidP="00016E69">
      <w:pPr>
        <w:pStyle w:val="Listenabsatz"/>
        <w:spacing w:before="120" w:after="120" w:line="276" w:lineRule="auto"/>
        <w:ind w:left="357"/>
        <w:contextualSpacing w:val="0"/>
        <w:rPr>
          <w:rFonts w:cs="Garamond"/>
          <w:sz w:val="24"/>
          <w:szCs w:val="24"/>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54A1CE1E" w14:textId="77777777" w:rsidR="00201847" w:rsidRPr="00016E69" w:rsidRDefault="00201847" w:rsidP="00016E69">
      <w:pPr>
        <w:pStyle w:val="Listenabsatz"/>
        <w:spacing w:before="120" w:after="120" w:line="276" w:lineRule="auto"/>
        <w:ind w:left="357"/>
        <w:contextualSpacing w:val="0"/>
        <w:rPr>
          <w:b/>
          <w:color w:val="000000"/>
          <w:sz w:val="24"/>
          <w:szCs w:val="24"/>
          <w:lang w:val="en-US"/>
        </w:rPr>
      </w:pPr>
    </w:p>
    <w:p w14:paraId="5E6D3DF2" w14:textId="77777777" w:rsidR="009B70A1" w:rsidRPr="00AA6D5E" w:rsidRDefault="009B70A1" w:rsidP="00D71CB7">
      <w:pPr>
        <w:pStyle w:val="Listenabsatz"/>
        <w:numPr>
          <w:ilvl w:val="0"/>
          <w:numId w:val="40"/>
        </w:numPr>
        <w:spacing w:before="120" w:after="120" w:line="276" w:lineRule="auto"/>
        <w:contextualSpacing w:val="0"/>
        <w:rPr>
          <w:b/>
          <w:color w:val="000000"/>
          <w:sz w:val="24"/>
          <w:szCs w:val="24"/>
          <w:lang w:val="en-US"/>
        </w:rPr>
      </w:pPr>
      <w:r w:rsidRPr="00016E69">
        <w:rPr>
          <w:b/>
          <w:color w:val="000000"/>
          <w:sz w:val="24"/>
          <w:szCs w:val="24"/>
          <w:lang w:val="en-US"/>
        </w:rPr>
        <w:t>In the light of your experience, the main obstacles to cooperation and communication in cross-border insolvency settings are:</w:t>
      </w:r>
    </w:p>
    <w:p w14:paraId="1FEE6015" w14:textId="77777777" w:rsidR="009B70A1" w:rsidRPr="00B07777" w:rsidRDefault="00201847" w:rsidP="00496866">
      <w:pPr>
        <w:pStyle w:val="Listenabsatz"/>
        <w:spacing w:before="120" w:after="120" w:line="276" w:lineRule="auto"/>
        <w:contextualSpacing w:val="0"/>
        <w:rPr>
          <w:color w:val="000000"/>
          <w:sz w:val="24"/>
          <w:szCs w:val="24"/>
          <w:lang w:val="en-US"/>
        </w:rPr>
      </w:pPr>
      <w:r>
        <w:rPr>
          <w:rFonts w:cs="Garamond"/>
          <w:sz w:val="24"/>
          <w:szCs w:val="24"/>
        </w:rPr>
        <w:fldChar w:fldCharType="begin">
          <w:ffData>
            <w:name w:val="Check1"/>
            <w:enabled/>
            <w:calcOnExit w:val="0"/>
            <w:checkBox>
              <w:sizeAuto/>
              <w:default w:val="0"/>
              <w:checked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B07777">
        <w:rPr>
          <w:color w:val="000000"/>
          <w:sz w:val="24"/>
          <w:szCs w:val="24"/>
          <w:lang w:val="en-US"/>
        </w:rPr>
        <w:t xml:space="preserve"> </w:t>
      </w:r>
      <w:proofErr w:type="gramStart"/>
      <w:r w:rsidR="009B70A1" w:rsidRPr="00B07777">
        <w:rPr>
          <w:color w:val="000000"/>
          <w:sz w:val="24"/>
          <w:szCs w:val="24"/>
          <w:lang w:val="en-US"/>
        </w:rPr>
        <w:t>formalistic</w:t>
      </w:r>
      <w:proofErr w:type="gramEnd"/>
      <w:r w:rsidR="009B70A1" w:rsidRPr="00B07777">
        <w:rPr>
          <w:color w:val="000000"/>
          <w:sz w:val="24"/>
          <w:szCs w:val="24"/>
          <w:lang w:val="en-US"/>
        </w:rPr>
        <w:t xml:space="preserve"> procedural law;</w:t>
      </w:r>
    </w:p>
    <w:p w14:paraId="16E8C013" w14:textId="77777777" w:rsidR="009B70A1" w:rsidRPr="00F13D4B" w:rsidRDefault="00201847" w:rsidP="00496866">
      <w:pPr>
        <w:pStyle w:val="Listenabsatz"/>
        <w:spacing w:before="120" w:after="120" w:line="276" w:lineRule="auto"/>
        <w:contextualSpacing w:val="0"/>
        <w:rPr>
          <w:color w:val="000000"/>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F13D4B">
        <w:rPr>
          <w:color w:val="000000"/>
          <w:sz w:val="24"/>
          <w:szCs w:val="24"/>
          <w:lang w:val="en-US"/>
        </w:rPr>
        <w:t xml:space="preserve"> </w:t>
      </w:r>
      <w:proofErr w:type="gramStart"/>
      <w:r w:rsidR="009B70A1" w:rsidRPr="00F13D4B">
        <w:rPr>
          <w:color w:val="000000"/>
          <w:sz w:val="24"/>
          <w:szCs w:val="24"/>
          <w:lang w:val="en-US"/>
        </w:rPr>
        <w:t>lack</w:t>
      </w:r>
      <w:proofErr w:type="gramEnd"/>
      <w:r w:rsidR="009B70A1" w:rsidRPr="00F13D4B">
        <w:rPr>
          <w:color w:val="000000"/>
          <w:sz w:val="24"/>
          <w:szCs w:val="24"/>
          <w:lang w:val="en-US"/>
        </w:rPr>
        <w:t xml:space="preserve"> of an express rule authorizing communication/cooperation;</w:t>
      </w:r>
    </w:p>
    <w:p w14:paraId="7A1D6673" w14:textId="77777777" w:rsidR="009B70A1" w:rsidRPr="00F13D4B" w:rsidRDefault="00201847" w:rsidP="00496866">
      <w:pPr>
        <w:pStyle w:val="Listenabsatz"/>
        <w:spacing w:before="120" w:after="120" w:line="276" w:lineRule="auto"/>
        <w:contextualSpacing w:val="0"/>
        <w:rPr>
          <w:color w:val="000000"/>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F13D4B">
        <w:rPr>
          <w:color w:val="000000"/>
          <w:sz w:val="24"/>
          <w:szCs w:val="24"/>
          <w:lang w:val="en-US"/>
        </w:rPr>
        <w:t xml:space="preserve"> </w:t>
      </w:r>
      <w:proofErr w:type="gramStart"/>
      <w:r w:rsidR="009B70A1" w:rsidRPr="00F13D4B">
        <w:rPr>
          <w:color w:val="000000"/>
          <w:sz w:val="24"/>
          <w:szCs w:val="24"/>
          <w:lang w:val="en-US"/>
        </w:rPr>
        <w:t>lack</w:t>
      </w:r>
      <w:proofErr w:type="gramEnd"/>
      <w:r w:rsidR="009B70A1" w:rsidRPr="00F13D4B">
        <w:rPr>
          <w:color w:val="000000"/>
          <w:sz w:val="24"/>
          <w:szCs w:val="24"/>
          <w:lang w:val="en-US"/>
        </w:rPr>
        <w:t xml:space="preserve"> of an express mandatory rule imposing communication/cooperation;</w:t>
      </w:r>
    </w:p>
    <w:p w14:paraId="54F049E7" w14:textId="77777777" w:rsidR="009B70A1" w:rsidRPr="00016E69" w:rsidRDefault="00201847" w:rsidP="00496866">
      <w:pPr>
        <w:pStyle w:val="Listenabsatz"/>
        <w:spacing w:before="120" w:after="120" w:line="276" w:lineRule="auto"/>
        <w:contextualSpacing w:val="0"/>
        <w:jc w:val="left"/>
        <w:rPr>
          <w:color w:val="000000"/>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D16A1B">
        <w:rPr>
          <w:color w:val="000000"/>
          <w:sz w:val="24"/>
          <w:szCs w:val="24"/>
          <w:lang w:val="en-US"/>
        </w:rPr>
        <w:t xml:space="preserve"> </w:t>
      </w:r>
      <w:proofErr w:type="gramStart"/>
      <w:r w:rsidR="009B70A1" w:rsidRPr="00F13D4B">
        <w:rPr>
          <w:color w:val="000000"/>
          <w:sz w:val="24"/>
          <w:szCs w:val="24"/>
          <w:lang w:val="en-US"/>
        </w:rPr>
        <w:t>lack</w:t>
      </w:r>
      <w:proofErr w:type="gramEnd"/>
      <w:r w:rsidR="009B70A1" w:rsidRPr="00F13D4B">
        <w:rPr>
          <w:color w:val="000000"/>
          <w:sz w:val="24"/>
          <w:szCs w:val="24"/>
          <w:lang w:val="en-US"/>
        </w:rPr>
        <w:t xml:space="preserve"> of express rules specifying the forms/e</w:t>
      </w:r>
      <w:r w:rsidR="00D16A1B">
        <w:rPr>
          <w:color w:val="000000"/>
          <w:sz w:val="24"/>
          <w:szCs w:val="24"/>
          <w:lang w:val="en-US"/>
        </w:rPr>
        <w:t>xtent of allowed communication/</w:t>
      </w:r>
      <w:r w:rsidR="009B70A1" w:rsidRPr="00F13D4B">
        <w:rPr>
          <w:color w:val="000000"/>
          <w:sz w:val="24"/>
          <w:szCs w:val="24"/>
          <w:lang w:val="en-US"/>
        </w:rPr>
        <w:t>cooperation</w:t>
      </w:r>
      <w:r w:rsidR="009B70A1" w:rsidRPr="00016E69">
        <w:rPr>
          <w:color w:val="000000"/>
          <w:sz w:val="24"/>
          <w:szCs w:val="24"/>
          <w:lang w:val="en-US"/>
        </w:rPr>
        <w:t>;</w:t>
      </w:r>
    </w:p>
    <w:p w14:paraId="21501423" w14:textId="77777777" w:rsidR="009B70A1" w:rsidRPr="00016E69" w:rsidRDefault="00201847" w:rsidP="00496866">
      <w:pPr>
        <w:pStyle w:val="Listenabsatz"/>
        <w:spacing w:before="120" w:after="120" w:line="276" w:lineRule="auto"/>
        <w:contextualSpacing w:val="0"/>
        <w:rPr>
          <w:color w:val="000000"/>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proofErr w:type="gramStart"/>
      <w:r w:rsidR="009B70A1" w:rsidRPr="00016E69">
        <w:rPr>
          <w:color w:val="000000"/>
          <w:sz w:val="24"/>
          <w:szCs w:val="24"/>
          <w:lang w:val="en-US"/>
        </w:rPr>
        <w:t>lack</w:t>
      </w:r>
      <w:proofErr w:type="gramEnd"/>
      <w:r w:rsidR="009B70A1" w:rsidRPr="00016E69">
        <w:rPr>
          <w:color w:val="000000"/>
          <w:sz w:val="24"/>
          <w:szCs w:val="24"/>
          <w:lang w:val="en-US"/>
        </w:rPr>
        <w:t xml:space="preserve"> of awareness about rules (of whatever nature: for instance, soft law) providing for tools to communicate/cooperate;</w:t>
      </w:r>
    </w:p>
    <w:p w14:paraId="182147CD" w14:textId="77777777" w:rsidR="009B70A1" w:rsidRPr="00016E69" w:rsidRDefault="00201847" w:rsidP="00496866">
      <w:pPr>
        <w:pStyle w:val="Listenabsatz"/>
        <w:spacing w:before="120" w:after="120" w:line="276" w:lineRule="auto"/>
        <w:contextualSpacing w:val="0"/>
        <w:rPr>
          <w:color w:val="000000"/>
          <w:sz w:val="24"/>
          <w:szCs w:val="24"/>
          <w:lang w:val="en-US"/>
        </w:rPr>
      </w:pPr>
      <w:r>
        <w:rPr>
          <w:rFonts w:cs="Garamond"/>
          <w:sz w:val="24"/>
          <w:szCs w:val="24"/>
        </w:rPr>
        <w:fldChar w:fldCharType="begin">
          <w:ffData>
            <w:name w:val="Check1"/>
            <w:enabled/>
            <w:calcOnExit w:val="0"/>
            <w:checkBox>
              <w:sizeAuto/>
              <w:default w:val="0"/>
              <w:checked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proofErr w:type="gramStart"/>
      <w:r w:rsidR="009B70A1" w:rsidRPr="00016E69">
        <w:rPr>
          <w:color w:val="000000"/>
          <w:sz w:val="24"/>
          <w:szCs w:val="24"/>
          <w:lang w:val="en-US"/>
        </w:rPr>
        <w:t>language</w:t>
      </w:r>
      <w:proofErr w:type="gramEnd"/>
      <w:r w:rsidR="009B70A1" w:rsidRPr="00016E69">
        <w:rPr>
          <w:color w:val="000000"/>
          <w:sz w:val="24"/>
          <w:szCs w:val="24"/>
          <w:lang w:val="en-US"/>
        </w:rPr>
        <w:t xml:space="preserve"> difficulties;</w:t>
      </w:r>
    </w:p>
    <w:p w14:paraId="4FCC4915" w14:textId="77777777" w:rsidR="009B70A1" w:rsidRPr="00016E69" w:rsidRDefault="00201847" w:rsidP="00496866">
      <w:pPr>
        <w:pStyle w:val="Listenabsatz"/>
        <w:spacing w:before="120" w:after="120" w:line="276" w:lineRule="auto"/>
        <w:contextualSpacing w:val="0"/>
        <w:rPr>
          <w:color w:val="000000"/>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proofErr w:type="gramStart"/>
      <w:r w:rsidR="009B70A1" w:rsidRPr="00016E69">
        <w:rPr>
          <w:color w:val="000000"/>
          <w:sz w:val="24"/>
          <w:szCs w:val="24"/>
          <w:lang w:val="en-US"/>
        </w:rPr>
        <w:t>lack</w:t>
      </w:r>
      <w:proofErr w:type="gramEnd"/>
      <w:r w:rsidR="009B70A1" w:rsidRPr="00016E69">
        <w:rPr>
          <w:color w:val="000000"/>
          <w:sz w:val="24"/>
          <w:szCs w:val="24"/>
          <w:lang w:val="en-US"/>
        </w:rPr>
        <w:t xml:space="preserve"> of trust on the counterparty;</w:t>
      </w:r>
    </w:p>
    <w:p w14:paraId="6B1C7AA6" w14:textId="77777777" w:rsidR="009B70A1" w:rsidRPr="00016E69" w:rsidRDefault="00201847" w:rsidP="00496866">
      <w:pPr>
        <w:pStyle w:val="Listenabsatz"/>
        <w:spacing w:before="120" w:after="120" w:line="276" w:lineRule="auto"/>
        <w:contextualSpacing w:val="0"/>
        <w:rPr>
          <w:color w:val="000000"/>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proofErr w:type="gramStart"/>
      <w:r w:rsidR="009B70A1" w:rsidRPr="00016E69">
        <w:rPr>
          <w:color w:val="000000"/>
          <w:sz w:val="24"/>
          <w:szCs w:val="24"/>
          <w:lang w:val="en-US"/>
        </w:rPr>
        <w:t>fear</w:t>
      </w:r>
      <w:proofErr w:type="gramEnd"/>
      <w:r w:rsidR="009B70A1" w:rsidRPr="00016E69">
        <w:rPr>
          <w:color w:val="000000"/>
          <w:sz w:val="24"/>
          <w:szCs w:val="24"/>
          <w:lang w:val="en-US"/>
        </w:rPr>
        <w:t xml:space="preserve"> of incurring liability;</w:t>
      </w:r>
    </w:p>
    <w:p w14:paraId="3E9A3235" w14:textId="77777777" w:rsidR="009B70A1" w:rsidRDefault="00201847" w:rsidP="00496866">
      <w:pPr>
        <w:pStyle w:val="Listenabsatz"/>
        <w:spacing w:before="120" w:after="120" w:line="276" w:lineRule="auto"/>
        <w:contextualSpacing w:val="0"/>
        <w:rPr>
          <w:color w:val="000000"/>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proofErr w:type="gramStart"/>
      <w:r w:rsidR="009B70A1" w:rsidRPr="00016E69">
        <w:rPr>
          <w:color w:val="000000"/>
          <w:sz w:val="24"/>
          <w:szCs w:val="24"/>
          <w:lang w:val="en-US"/>
        </w:rPr>
        <w:t>other</w:t>
      </w:r>
      <w:proofErr w:type="gramEnd"/>
      <w:r w:rsidR="009B70A1" w:rsidRPr="00016E69">
        <w:rPr>
          <w:color w:val="000000"/>
          <w:sz w:val="24"/>
          <w:szCs w:val="24"/>
          <w:lang w:val="en-US"/>
        </w:rPr>
        <w:t>.</w:t>
      </w:r>
    </w:p>
    <w:p w14:paraId="3C84F77E" w14:textId="77777777" w:rsidR="00201847" w:rsidRDefault="00201847" w:rsidP="00496866">
      <w:pPr>
        <w:pStyle w:val="Listenabsatz"/>
        <w:spacing w:before="120" w:after="120" w:line="276" w:lineRule="auto"/>
        <w:contextualSpacing w:val="0"/>
        <w:rPr>
          <w:color w:val="000000"/>
          <w:sz w:val="24"/>
          <w:szCs w:val="24"/>
          <w:lang w:val="en-US"/>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54176740" w14:textId="77777777" w:rsidR="00016E69" w:rsidRPr="00016E69" w:rsidRDefault="00016E69" w:rsidP="007837FC">
      <w:pPr>
        <w:pStyle w:val="Listenabsatz"/>
        <w:spacing w:before="120" w:after="120" w:line="276" w:lineRule="auto"/>
        <w:ind w:left="851"/>
        <w:contextualSpacing w:val="0"/>
        <w:rPr>
          <w:color w:val="000000"/>
          <w:sz w:val="24"/>
          <w:szCs w:val="24"/>
          <w:lang w:val="en-US"/>
        </w:rPr>
      </w:pPr>
    </w:p>
    <w:p w14:paraId="20E0F139" w14:textId="77777777" w:rsidR="009B70A1" w:rsidRPr="00201847" w:rsidRDefault="009B70A1" w:rsidP="00D71CB7">
      <w:pPr>
        <w:pStyle w:val="Listenabsatz"/>
        <w:numPr>
          <w:ilvl w:val="0"/>
          <w:numId w:val="40"/>
        </w:numPr>
        <w:spacing w:before="120" w:after="120" w:line="276" w:lineRule="auto"/>
        <w:contextualSpacing w:val="0"/>
        <w:rPr>
          <w:b/>
          <w:color w:val="000000"/>
          <w:sz w:val="24"/>
          <w:szCs w:val="24"/>
          <w:lang w:val="el-GR"/>
        </w:rPr>
      </w:pPr>
      <w:r w:rsidRPr="00AA6D5E">
        <w:rPr>
          <w:b/>
          <w:sz w:val="24"/>
          <w:szCs w:val="24"/>
          <w:lang w:val="en-US"/>
        </w:rPr>
        <w:t xml:space="preserve">The difficulties regarding communication, cooperation and coordination, described under question nº 2, </w:t>
      </w:r>
      <w:r w:rsidRPr="00B07777">
        <w:rPr>
          <w:b/>
          <w:sz w:val="24"/>
          <w:szCs w:val="24"/>
          <w:lang w:val="en-US"/>
        </w:rPr>
        <w:t xml:space="preserve">have been solved by Regulation recast? In other words, is the framework provided for a solid and practical one? </w:t>
      </w:r>
      <w:r w:rsidRPr="00F13D4B">
        <w:rPr>
          <w:b/>
          <w:sz w:val="24"/>
          <w:szCs w:val="24"/>
        </w:rPr>
        <w:t>Please elaborate on your objections, should you have any.</w:t>
      </w:r>
    </w:p>
    <w:p w14:paraId="7092CB8E" w14:textId="77777777" w:rsidR="00DF34BB" w:rsidRDefault="00201847" w:rsidP="00DF34BB">
      <w:pPr>
        <w:pStyle w:val="Listenabsatz"/>
        <w:spacing w:before="120" w:after="120" w:line="276" w:lineRule="auto"/>
        <w:ind w:left="360"/>
        <w:contextualSpacing w:val="0"/>
        <w:rPr>
          <w:color w:val="000000"/>
          <w:sz w:val="24"/>
          <w:szCs w:val="24"/>
        </w:rPr>
      </w:pPr>
      <w:r>
        <w:rPr>
          <w:rFonts w:cs="Garamond"/>
          <w:sz w:val="24"/>
          <w:szCs w:val="24"/>
        </w:rPr>
        <w:fldChar w:fldCharType="begin">
          <w:ffData>
            <w:name w:val="Text1"/>
            <w:enabled/>
            <w:calcOnExit w:val="0"/>
            <w:textInput/>
          </w:ffData>
        </w:fldChar>
      </w:r>
      <w:r w:rsidRPr="00DF34BB">
        <w:rPr>
          <w:rFonts w:cs="Garamond"/>
          <w:sz w:val="24"/>
          <w:szCs w:val="24"/>
          <w:lang w:val="en-US"/>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4A97FB19" w14:textId="77777777" w:rsidR="009B70A1" w:rsidRPr="00DF34BB" w:rsidRDefault="009B70A1" w:rsidP="00D71CB7">
      <w:pPr>
        <w:pStyle w:val="Listenabsatz"/>
        <w:numPr>
          <w:ilvl w:val="0"/>
          <w:numId w:val="40"/>
        </w:numPr>
        <w:spacing w:before="120" w:after="120" w:line="276" w:lineRule="auto"/>
        <w:contextualSpacing w:val="0"/>
        <w:rPr>
          <w:color w:val="000000"/>
          <w:sz w:val="24"/>
          <w:szCs w:val="24"/>
          <w:lang w:val="en-US"/>
        </w:rPr>
      </w:pPr>
      <w:r w:rsidRPr="00DF34BB">
        <w:rPr>
          <w:b/>
          <w:sz w:val="24"/>
          <w:szCs w:val="24"/>
          <w:lang w:val="en-US"/>
        </w:rPr>
        <w:lastRenderedPageBreak/>
        <w:t xml:space="preserve">Could you provide for an example matching the caveat provided by the sentence “(…) </w:t>
      </w:r>
      <w:r w:rsidRPr="00016E69">
        <w:rPr>
          <w:b/>
          <w:sz w:val="24"/>
          <w:szCs w:val="24"/>
          <w:lang w:val="en-US"/>
        </w:rPr>
        <w:t xml:space="preserve">to </w:t>
      </w:r>
      <w:r w:rsidRPr="00AA6D5E">
        <w:rPr>
          <w:b/>
          <w:sz w:val="24"/>
          <w:szCs w:val="24"/>
          <w:lang w:val="en-US"/>
        </w:rPr>
        <w:t xml:space="preserve">the extent that such a cooperation is not incompatible with the rules applicable to the respective proceedings”, which appears in arts. </w:t>
      </w:r>
      <w:r w:rsidRPr="003269DF">
        <w:rPr>
          <w:b/>
          <w:sz w:val="24"/>
          <w:szCs w:val="24"/>
          <w:lang w:val="en-US"/>
        </w:rPr>
        <w:t>41, 42 and 43 of the Regulation?</w:t>
      </w:r>
    </w:p>
    <w:p w14:paraId="4388D94E" w14:textId="77777777" w:rsidR="00201847" w:rsidRPr="00201847" w:rsidRDefault="00201847" w:rsidP="00201847">
      <w:pPr>
        <w:pStyle w:val="Listenabsatz"/>
        <w:spacing w:before="120" w:after="120" w:line="276" w:lineRule="auto"/>
        <w:ind w:left="360"/>
        <w:contextualSpacing w:val="0"/>
        <w:rPr>
          <w:color w:val="000000"/>
          <w:sz w:val="24"/>
          <w:szCs w:val="24"/>
          <w:lang w:val="en-US"/>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74055C66" w14:textId="77777777" w:rsidR="00016E69" w:rsidRPr="003269DF" w:rsidRDefault="00016E69" w:rsidP="00016E69">
      <w:pPr>
        <w:pStyle w:val="Listenabsatz"/>
        <w:spacing w:before="120" w:after="120" w:line="276" w:lineRule="auto"/>
        <w:ind w:left="357"/>
        <w:contextualSpacing w:val="0"/>
        <w:rPr>
          <w:b/>
          <w:color w:val="000000"/>
          <w:sz w:val="24"/>
          <w:szCs w:val="24"/>
          <w:lang w:val="en-US"/>
        </w:rPr>
      </w:pPr>
    </w:p>
    <w:p w14:paraId="0CB6B7CF" w14:textId="77777777" w:rsidR="009B70A1" w:rsidRPr="00B07777" w:rsidRDefault="009B70A1" w:rsidP="00D71CB7">
      <w:pPr>
        <w:pStyle w:val="Listenabsatz"/>
        <w:numPr>
          <w:ilvl w:val="0"/>
          <w:numId w:val="40"/>
        </w:numPr>
        <w:spacing w:before="120" w:after="120" w:line="276" w:lineRule="auto"/>
        <w:contextualSpacing w:val="0"/>
        <w:rPr>
          <w:b/>
          <w:sz w:val="24"/>
          <w:szCs w:val="24"/>
          <w:lang w:val="en-US"/>
        </w:rPr>
      </w:pPr>
      <w:r w:rsidRPr="00016E69">
        <w:rPr>
          <w:b/>
          <w:sz w:val="24"/>
          <w:szCs w:val="24"/>
          <w:lang w:val="en-US"/>
        </w:rPr>
        <w:t xml:space="preserve">In your understanding, the new rules on communication, cooperation and coordination in </w:t>
      </w:r>
      <w:r w:rsidRPr="00AA6D5E">
        <w:rPr>
          <w:b/>
          <w:sz w:val="24"/>
          <w:szCs w:val="24"/>
          <w:lang w:val="en-US"/>
        </w:rPr>
        <w:t>the regulation recast:</w:t>
      </w:r>
    </w:p>
    <w:p w14:paraId="58B63253" w14:textId="77777777" w:rsidR="009B70A1" w:rsidRPr="00F13D4B" w:rsidRDefault="00201847" w:rsidP="007837FC">
      <w:pPr>
        <w:pStyle w:val="Listenabsatz"/>
        <w:spacing w:before="120" w:after="120" w:line="276" w:lineRule="auto"/>
        <w:ind w:left="851"/>
        <w:contextualSpacing w:val="0"/>
        <w:rPr>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F13D4B">
        <w:rPr>
          <w:color w:val="000000"/>
          <w:sz w:val="24"/>
          <w:szCs w:val="24"/>
          <w:lang w:val="en-US"/>
        </w:rPr>
        <w:t xml:space="preserve"> </w:t>
      </w:r>
      <w:proofErr w:type="gramStart"/>
      <w:r w:rsidR="009B70A1" w:rsidRPr="00F13D4B">
        <w:rPr>
          <w:sz w:val="24"/>
          <w:szCs w:val="24"/>
          <w:lang w:val="en-US"/>
        </w:rPr>
        <w:t>impose</w:t>
      </w:r>
      <w:proofErr w:type="gramEnd"/>
      <w:r w:rsidR="009B70A1" w:rsidRPr="00F13D4B">
        <w:rPr>
          <w:sz w:val="24"/>
          <w:szCs w:val="24"/>
          <w:lang w:val="en-US"/>
        </w:rPr>
        <w:t xml:space="preserve"> a duty to communicate/cooperate; </w:t>
      </w:r>
    </w:p>
    <w:p w14:paraId="60B587D8" w14:textId="77777777" w:rsidR="009B70A1" w:rsidRPr="00F13D4B" w:rsidRDefault="00201847" w:rsidP="007837FC">
      <w:pPr>
        <w:pStyle w:val="Listenabsatz"/>
        <w:spacing w:before="120" w:after="120" w:line="276" w:lineRule="auto"/>
        <w:ind w:leftChars="386" w:left="849"/>
        <w:contextualSpacing w:val="0"/>
        <w:rPr>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F13D4B">
        <w:rPr>
          <w:color w:val="000000"/>
          <w:sz w:val="24"/>
          <w:szCs w:val="24"/>
          <w:lang w:val="en-US"/>
        </w:rPr>
        <w:t xml:space="preserve"> </w:t>
      </w:r>
      <w:proofErr w:type="gramStart"/>
      <w:r w:rsidR="009B70A1" w:rsidRPr="00F13D4B">
        <w:rPr>
          <w:sz w:val="24"/>
          <w:szCs w:val="24"/>
          <w:lang w:val="en-US"/>
        </w:rPr>
        <w:t>impose</w:t>
      </w:r>
      <w:proofErr w:type="gramEnd"/>
      <w:r w:rsidR="009B70A1" w:rsidRPr="00F13D4B">
        <w:rPr>
          <w:sz w:val="24"/>
          <w:szCs w:val="24"/>
          <w:lang w:val="en-US"/>
        </w:rPr>
        <w:t xml:space="preserve"> a duty to try to communicate/cooperate; </w:t>
      </w:r>
    </w:p>
    <w:p w14:paraId="2F2966AD" w14:textId="77777777" w:rsidR="009B70A1" w:rsidRDefault="00201847" w:rsidP="007837FC">
      <w:pPr>
        <w:pStyle w:val="Listenabsatz"/>
        <w:spacing w:before="120" w:after="120" w:line="276" w:lineRule="auto"/>
        <w:ind w:leftChars="386" w:left="849"/>
        <w:contextualSpacing w:val="0"/>
        <w:rPr>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proofErr w:type="gramStart"/>
      <w:r w:rsidR="009B70A1" w:rsidRPr="00016E69">
        <w:rPr>
          <w:sz w:val="24"/>
          <w:szCs w:val="24"/>
          <w:lang w:val="en-US"/>
        </w:rPr>
        <w:t>entail</w:t>
      </w:r>
      <w:proofErr w:type="gramEnd"/>
      <w:r w:rsidR="009B70A1" w:rsidRPr="00016E69">
        <w:rPr>
          <w:sz w:val="24"/>
          <w:szCs w:val="24"/>
          <w:lang w:val="en-US"/>
        </w:rPr>
        <w:t xml:space="preserve"> an authorization to undertake it.</w:t>
      </w:r>
    </w:p>
    <w:p w14:paraId="6254C254" w14:textId="77777777" w:rsidR="00016E69" w:rsidRPr="00016E69" w:rsidRDefault="00016E69" w:rsidP="007837FC">
      <w:pPr>
        <w:pStyle w:val="Listenabsatz"/>
        <w:spacing w:before="120" w:after="120" w:line="276" w:lineRule="auto"/>
        <w:ind w:leftChars="386" w:left="849"/>
        <w:contextualSpacing w:val="0"/>
        <w:rPr>
          <w:sz w:val="24"/>
          <w:szCs w:val="24"/>
          <w:lang w:val="en-US"/>
        </w:rPr>
      </w:pPr>
    </w:p>
    <w:p w14:paraId="68AFF54B" w14:textId="77777777" w:rsidR="009B70A1" w:rsidRPr="00B07777" w:rsidRDefault="009B70A1" w:rsidP="00D71CB7">
      <w:pPr>
        <w:pStyle w:val="Listenabsatz"/>
        <w:numPr>
          <w:ilvl w:val="0"/>
          <w:numId w:val="40"/>
        </w:numPr>
        <w:spacing w:before="120" w:after="120" w:line="276" w:lineRule="auto"/>
        <w:contextualSpacing w:val="0"/>
        <w:rPr>
          <w:rFonts w:cs="Arial"/>
          <w:b/>
          <w:sz w:val="24"/>
          <w:szCs w:val="24"/>
          <w:lang w:val="en-GB"/>
        </w:rPr>
      </w:pPr>
      <w:r w:rsidRPr="00AA6D5E">
        <w:rPr>
          <w:rFonts w:cs="Arial"/>
          <w:b/>
          <w:sz w:val="24"/>
          <w:szCs w:val="24"/>
          <w:lang w:val="en-GB"/>
        </w:rPr>
        <w:t xml:space="preserve">Are you familiar with some codified best practices concerning the drafting of insolvency </w:t>
      </w:r>
      <w:r w:rsidRPr="00B07777">
        <w:rPr>
          <w:rFonts w:cs="Arial"/>
          <w:b/>
          <w:sz w:val="24"/>
          <w:szCs w:val="24"/>
          <w:lang w:val="en-GB"/>
        </w:rPr>
        <w:t>protocols? If yes, please specify which:</w:t>
      </w:r>
    </w:p>
    <w:p w14:paraId="416223D9" w14:textId="77777777" w:rsidR="009B70A1" w:rsidRPr="00F13D4B" w:rsidRDefault="00201847" w:rsidP="007837FC">
      <w:pPr>
        <w:pStyle w:val="Listenabsatz"/>
        <w:spacing w:before="120" w:after="120" w:line="276" w:lineRule="auto"/>
        <w:ind w:left="851"/>
        <w:contextualSpacing w:val="0"/>
        <w:jc w:val="left"/>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F13D4B">
        <w:rPr>
          <w:color w:val="000000"/>
          <w:sz w:val="24"/>
          <w:szCs w:val="24"/>
          <w:lang w:val="en-US"/>
        </w:rPr>
        <w:t xml:space="preserve"> </w:t>
      </w:r>
      <w:r w:rsidR="009B70A1" w:rsidRPr="00F13D4B">
        <w:rPr>
          <w:rFonts w:cs="Arial"/>
          <w:sz w:val="24"/>
          <w:szCs w:val="24"/>
          <w:lang w:val="en-GB"/>
        </w:rPr>
        <w:t xml:space="preserve">European Communication and Cooperation Guidelines for Cross-Border Insolvency (CoCo Guidelines) (INSOL 2007); </w:t>
      </w:r>
    </w:p>
    <w:p w14:paraId="6D06215C" w14:textId="77777777" w:rsidR="009B70A1" w:rsidRPr="00016E69" w:rsidRDefault="00201847" w:rsidP="007837FC">
      <w:pPr>
        <w:pStyle w:val="Listenabsatz"/>
        <w:spacing w:before="120" w:after="120" w:line="276" w:lineRule="auto"/>
        <w:ind w:left="851"/>
        <w:contextualSpacing w:val="0"/>
        <w:jc w:val="left"/>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F13D4B">
        <w:rPr>
          <w:color w:val="000000"/>
          <w:sz w:val="24"/>
          <w:szCs w:val="24"/>
          <w:lang w:val="en-US"/>
        </w:rPr>
        <w:t xml:space="preserve"> </w:t>
      </w:r>
      <w:r w:rsidR="009B70A1" w:rsidRPr="00F13D4B">
        <w:rPr>
          <w:rFonts w:cs="Arial"/>
          <w:sz w:val="24"/>
          <w:szCs w:val="24"/>
          <w:lang w:val="en-GB"/>
        </w:rPr>
        <w:t>EU Cross-Border Insolvency Cou</w:t>
      </w:r>
      <w:r w:rsidR="009B70A1" w:rsidRPr="00016E69">
        <w:rPr>
          <w:rFonts w:cs="Arial"/>
          <w:sz w:val="24"/>
          <w:szCs w:val="24"/>
          <w:lang w:val="en-GB"/>
        </w:rPr>
        <w:t>rt-to-Court Principles (University of Leiden and Nottingham Law School 2014);</w:t>
      </w:r>
    </w:p>
    <w:p w14:paraId="1F3AA4FC" w14:textId="77777777" w:rsidR="009B70A1" w:rsidRPr="00016E69" w:rsidRDefault="00201847" w:rsidP="007837FC">
      <w:pPr>
        <w:pStyle w:val="Listenabsatz"/>
        <w:spacing w:before="120" w:after="120" w:line="276" w:lineRule="auto"/>
        <w:ind w:left="851"/>
        <w:contextualSpacing w:val="0"/>
        <w:jc w:val="left"/>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proofErr w:type="gramStart"/>
      <w:r w:rsidR="009B70A1" w:rsidRPr="00016E69">
        <w:rPr>
          <w:rFonts w:cs="Arial"/>
          <w:sz w:val="24"/>
          <w:szCs w:val="24"/>
          <w:lang w:val="en-GB"/>
        </w:rPr>
        <w:t>ALI III Global Principles for Cooperation in.</w:t>
      </w:r>
      <w:proofErr w:type="gramEnd"/>
      <w:r w:rsidR="009B70A1" w:rsidRPr="00016E69">
        <w:rPr>
          <w:rFonts w:cs="Arial"/>
          <w:sz w:val="24"/>
          <w:szCs w:val="24"/>
          <w:lang w:val="en-GB"/>
        </w:rPr>
        <w:t xml:space="preserve"> International Insolvency Cases</w:t>
      </w:r>
      <w:r w:rsidR="009B70A1" w:rsidRPr="00016E69" w:rsidDel="00014F3E">
        <w:rPr>
          <w:rFonts w:cs="Arial"/>
          <w:sz w:val="24"/>
          <w:szCs w:val="24"/>
          <w:lang w:val="en-GB"/>
        </w:rPr>
        <w:t xml:space="preserve"> </w:t>
      </w:r>
      <w:r w:rsidR="009B70A1" w:rsidRPr="00016E69">
        <w:rPr>
          <w:rFonts w:cs="Arial"/>
          <w:sz w:val="24"/>
          <w:szCs w:val="24"/>
          <w:lang w:val="en-GB"/>
        </w:rPr>
        <w:t>(2012);</w:t>
      </w:r>
    </w:p>
    <w:p w14:paraId="27D81404" w14:textId="77777777" w:rsidR="009B70A1" w:rsidRPr="00016E69" w:rsidRDefault="00201847" w:rsidP="007837FC">
      <w:pPr>
        <w:pStyle w:val="Listenabsatz"/>
        <w:spacing w:before="120" w:after="120" w:line="276" w:lineRule="auto"/>
        <w:ind w:left="851"/>
        <w:contextualSpacing w:val="0"/>
        <w:jc w:val="left"/>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UNCITRAL Model Law on Cross-Border Insolvency (1997) and UNCITRAL Practice Guide on Cross-Border Insolvency Cooperation (2009);</w:t>
      </w:r>
    </w:p>
    <w:p w14:paraId="2784A756" w14:textId="77777777" w:rsidR="009B70A1" w:rsidRDefault="00201847" w:rsidP="007837FC">
      <w:pPr>
        <w:pStyle w:val="Listenabsatz"/>
        <w:spacing w:before="120" w:after="120" w:line="276" w:lineRule="auto"/>
        <w:ind w:left="851"/>
        <w:contextualSpacing w:val="0"/>
        <w:jc w:val="left"/>
        <w:rPr>
          <w:sz w:val="24"/>
          <w:szCs w:val="24"/>
          <w:lang w:val="es-E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s-ES"/>
        </w:rPr>
        <w:t xml:space="preserve"> </w:t>
      </w:r>
      <w:r w:rsidR="009B70A1" w:rsidRPr="00016E69">
        <w:rPr>
          <w:sz w:val="24"/>
          <w:szCs w:val="24"/>
          <w:lang w:val="es-ES"/>
        </w:rPr>
        <w:t>IBA Cross-Border Insolvency Concordat (1995).</w:t>
      </w:r>
    </w:p>
    <w:p w14:paraId="27144577" w14:textId="77777777" w:rsidR="00496866" w:rsidRPr="00016E69" w:rsidRDefault="00496866" w:rsidP="007837FC">
      <w:pPr>
        <w:pStyle w:val="Listenabsatz"/>
        <w:spacing w:before="120" w:after="120" w:line="276" w:lineRule="auto"/>
        <w:ind w:left="851"/>
        <w:contextualSpacing w:val="0"/>
        <w:jc w:val="left"/>
        <w:rPr>
          <w:rFonts w:cs="Arial"/>
          <w:sz w:val="24"/>
          <w:szCs w:val="24"/>
          <w:lang w:val="es-ES"/>
        </w:rPr>
      </w:pPr>
    </w:p>
    <w:p w14:paraId="4FB9BB0C" w14:textId="77777777" w:rsidR="00C107D5" w:rsidRDefault="009B70A1" w:rsidP="005A3E4B">
      <w:pPr>
        <w:pStyle w:val="Listenabsatz"/>
        <w:numPr>
          <w:ilvl w:val="0"/>
          <w:numId w:val="40"/>
        </w:numPr>
        <w:spacing w:before="120" w:after="120" w:line="276" w:lineRule="auto"/>
        <w:contextualSpacing w:val="0"/>
        <w:rPr>
          <w:rFonts w:cs="Arial"/>
          <w:b/>
          <w:sz w:val="24"/>
          <w:szCs w:val="24"/>
          <w:lang w:val="en-GB"/>
        </w:rPr>
      </w:pPr>
      <w:r w:rsidRPr="00496866">
        <w:rPr>
          <w:rFonts w:cs="Arial"/>
          <w:b/>
          <w:sz w:val="24"/>
          <w:szCs w:val="24"/>
          <w:lang w:val="en-GB"/>
        </w:rPr>
        <w:t xml:space="preserve">Do you think that such codifications provide sufficient guidance? </w:t>
      </w:r>
    </w:p>
    <w:p w14:paraId="2349ACE1" w14:textId="77777777" w:rsidR="005A3E4B" w:rsidRPr="00C107D5" w:rsidRDefault="005A3E4B" w:rsidP="00C107D5">
      <w:pPr>
        <w:pStyle w:val="Listenabsatz"/>
        <w:spacing w:before="120" w:after="120" w:line="276" w:lineRule="auto"/>
        <w:ind w:left="360"/>
        <w:contextualSpacing w:val="0"/>
        <w:rPr>
          <w:rFonts w:cs="Arial"/>
          <w:b/>
          <w:sz w:val="24"/>
          <w:szCs w:val="24"/>
          <w:lang w:val="en-GB"/>
        </w:rPr>
      </w:pPr>
      <w:r w:rsidRPr="00C107D5">
        <w:rPr>
          <w:rFonts w:cs="Garamond"/>
          <w:sz w:val="24"/>
          <w:szCs w:val="24"/>
        </w:rPr>
        <w:fldChar w:fldCharType="begin">
          <w:ffData>
            <w:name w:val="Text1"/>
            <w:enabled/>
            <w:calcOnExit w:val="0"/>
            <w:textInput/>
          </w:ffData>
        </w:fldChar>
      </w:r>
      <w:r w:rsidRPr="00C107D5">
        <w:rPr>
          <w:rFonts w:cs="Garamond"/>
          <w:sz w:val="24"/>
          <w:szCs w:val="24"/>
        </w:rPr>
        <w:instrText xml:space="preserve"> FORMTEXT </w:instrText>
      </w:r>
      <w:r w:rsidRPr="00C107D5">
        <w:rPr>
          <w:rFonts w:cs="Garamond"/>
          <w:sz w:val="24"/>
          <w:szCs w:val="24"/>
        </w:rPr>
      </w:r>
      <w:r w:rsidRPr="00C107D5">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sidRPr="00C107D5">
        <w:rPr>
          <w:rFonts w:cs="Garamond"/>
          <w:sz w:val="24"/>
          <w:szCs w:val="24"/>
        </w:rPr>
        <w:fldChar w:fldCharType="end"/>
      </w:r>
    </w:p>
    <w:p w14:paraId="5C79EE55" w14:textId="77777777" w:rsidR="00C107D5" w:rsidRDefault="009B70A1" w:rsidP="00C107D5">
      <w:pPr>
        <w:pStyle w:val="Listenabsatz"/>
        <w:spacing w:before="120" w:after="120" w:line="276" w:lineRule="auto"/>
        <w:ind w:left="360"/>
        <w:contextualSpacing w:val="0"/>
        <w:rPr>
          <w:rFonts w:cs="Arial"/>
          <w:b/>
          <w:sz w:val="24"/>
          <w:szCs w:val="24"/>
          <w:lang w:val="en-GB"/>
        </w:rPr>
      </w:pPr>
      <w:r w:rsidRPr="005A3E4B">
        <w:rPr>
          <w:rFonts w:cs="Arial"/>
          <w:b/>
          <w:sz w:val="24"/>
          <w:szCs w:val="24"/>
          <w:lang w:val="en-GB"/>
        </w:rPr>
        <w:t>If no, please specify in what respect they are insufficient.</w:t>
      </w:r>
    </w:p>
    <w:p w14:paraId="4CB90E5E" w14:textId="77777777" w:rsidR="00201847" w:rsidRPr="00C107D5" w:rsidRDefault="00201847" w:rsidP="00C107D5">
      <w:pPr>
        <w:pStyle w:val="Listenabsatz"/>
        <w:spacing w:before="120" w:after="120" w:line="276" w:lineRule="auto"/>
        <w:ind w:left="360"/>
        <w:contextualSpacing w:val="0"/>
        <w:rPr>
          <w:rFonts w:cs="Arial"/>
          <w:b/>
          <w:sz w:val="24"/>
          <w:szCs w:val="24"/>
          <w:lang w:val="en-GB"/>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7268FDAB" w14:textId="77777777" w:rsidR="00E845A6" w:rsidRDefault="00E845A6" w:rsidP="007837FC">
      <w:pPr>
        <w:pStyle w:val="Listenabsatz"/>
        <w:spacing w:before="120" w:after="120" w:line="276" w:lineRule="auto"/>
        <w:ind w:left="851"/>
        <w:contextualSpacing w:val="0"/>
        <w:rPr>
          <w:sz w:val="24"/>
          <w:szCs w:val="24"/>
          <w:lang w:val="en-US"/>
        </w:rPr>
      </w:pPr>
    </w:p>
    <w:p w14:paraId="40D87AF0" w14:textId="77777777" w:rsidR="000B28E2" w:rsidRPr="00016E69" w:rsidRDefault="000B28E2" w:rsidP="007837FC">
      <w:pPr>
        <w:pStyle w:val="Listenabsatz"/>
        <w:spacing w:before="120" w:after="120" w:line="276" w:lineRule="auto"/>
        <w:ind w:left="851"/>
        <w:contextualSpacing w:val="0"/>
        <w:rPr>
          <w:sz w:val="24"/>
          <w:szCs w:val="24"/>
          <w:lang w:val="en-US"/>
        </w:rPr>
      </w:pPr>
    </w:p>
    <w:p w14:paraId="4BF11FBB" w14:textId="77777777" w:rsidR="009B70A1" w:rsidRPr="00C57012" w:rsidRDefault="00857904" w:rsidP="00CD7CD8">
      <w:pPr>
        <w:pStyle w:val="berschrift2"/>
      </w:pPr>
      <w:r w:rsidRPr="00C57012">
        <w:t>C</w:t>
      </w:r>
      <w:r w:rsidR="009B70A1" w:rsidRPr="00C57012">
        <w:t>. Agreements and protocols</w:t>
      </w:r>
    </w:p>
    <w:p w14:paraId="7C5B1AE7" w14:textId="77777777" w:rsidR="009B70A1" w:rsidRPr="004940D7" w:rsidRDefault="009B0424" w:rsidP="00CD7CD8">
      <w:pPr>
        <w:pStyle w:val="berschrift3"/>
        <w:rPr>
          <w:b/>
        </w:rPr>
      </w:pPr>
      <w:bookmarkStart w:id="11" w:name="_Toc415476071"/>
      <w:r w:rsidRPr="004940D7">
        <w:t xml:space="preserve">I. </w:t>
      </w:r>
      <w:r w:rsidR="009B70A1" w:rsidRPr="004940D7">
        <w:t>Reform</w:t>
      </w:r>
      <w:bookmarkEnd w:id="11"/>
    </w:p>
    <w:p w14:paraId="4E24052E" w14:textId="77777777" w:rsidR="009B70A1" w:rsidRPr="00016E69" w:rsidRDefault="009B70A1" w:rsidP="007837FC">
      <w:pPr>
        <w:spacing w:before="120" w:after="120"/>
        <w:jc w:val="both"/>
        <w:rPr>
          <w:rFonts w:ascii="Garamond" w:hAnsi="Garamond"/>
          <w:sz w:val="24"/>
          <w:szCs w:val="24"/>
          <w:lang w:val="en-GB"/>
        </w:rPr>
      </w:pPr>
      <w:r w:rsidRPr="00016E69">
        <w:rPr>
          <w:rFonts w:ascii="Garamond" w:hAnsi="Garamond" w:cs="Arial"/>
          <w:sz w:val="24"/>
          <w:szCs w:val="24"/>
          <w:lang w:val="en-GB"/>
        </w:rPr>
        <w:t xml:space="preserve">Among the possible instruments for enhancing cooperation and communication between insolvency practitioners, the EIR now explicitly mentions cross-border insolvency protocols or agreements – hereinafter: protocols (Articles 41(1) and 56(1) EIR-R). </w:t>
      </w:r>
      <w:r w:rsidRPr="00016E69">
        <w:rPr>
          <w:rFonts w:ascii="Garamond" w:hAnsi="Garamond"/>
          <w:sz w:val="24"/>
          <w:szCs w:val="24"/>
          <w:lang w:val="en-GB"/>
        </w:rPr>
        <w:t xml:space="preserve">They will indeed retain their practical importance whenever no recourse is made to new alternatives such as synthetic </w:t>
      </w:r>
      <w:r w:rsidRPr="00016E69">
        <w:rPr>
          <w:rFonts w:ascii="Garamond" w:hAnsi="Garamond"/>
          <w:sz w:val="24"/>
          <w:szCs w:val="24"/>
          <w:lang w:val="en-GB"/>
        </w:rPr>
        <w:lastRenderedPageBreak/>
        <w:t xml:space="preserve">proceedings (Article 36 </w:t>
      </w:r>
      <w:r w:rsidRPr="00016E69">
        <w:rPr>
          <w:rFonts w:ascii="Garamond" w:hAnsi="Garamond"/>
          <w:sz w:val="24"/>
          <w:szCs w:val="24"/>
        </w:rPr>
        <w:t>EIR-R</w:t>
      </w:r>
      <w:r w:rsidRPr="00016E69">
        <w:rPr>
          <w:rFonts w:ascii="Garamond" w:hAnsi="Garamond"/>
          <w:sz w:val="24"/>
          <w:szCs w:val="24"/>
          <w:lang w:val="en-GB"/>
        </w:rPr>
        <w:t xml:space="preserve">) and coordination plans (Article 72(1)(b) </w:t>
      </w:r>
      <w:r w:rsidRPr="00016E69">
        <w:rPr>
          <w:rFonts w:ascii="Garamond" w:hAnsi="Garamond"/>
          <w:sz w:val="24"/>
          <w:szCs w:val="24"/>
        </w:rPr>
        <w:t>EIR-R</w:t>
      </w:r>
      <w:r w:rsidRPr="00016E69">
        <w:rPr>
          <w:rFonts w:ascii="Garamond" w:hAnsi="Garamond"/>
          <w:sz w:val="24"/>
          <w:szCs w:val="24"/>
          <w:lang w:val="en-GB"/>
        </w:rPr>
        <w:t>), which are not likely to be adopted in all secondary proceedings, and, respectively, corporate group insolvencies.</w:t>
      </w:r>
    </w:p>
    <w:p w14:paraId="56E799E4" w14:textId="77777777" w:rsidR="00586690" w:rsidRDefault="009B70A1" w:rsidP="00586690">
      <w:pPr>
        <w:spacing w:before="120" w:after="120"/>
        <w:jc w:val="both"/>
        <w:rPr>
          <w:rFonts w:ascii="Garamond" w:hAnsi="Garamond" w:cs="Arial"/>
          <w:sz w:val="24"/>
          <w:szCs w:val="24"/>
          <w:lang w:val="en-GB"/>
        </w:rPr>
      </w:pPr>
      <w:r w:rsidRPr="00016E69">
        <w:rPr>
          <w:rFonts w:ascii="Garamond" w:hAnsi="Garamond" w:cs="Arial"/>
          <w:sz w:val="24"/>
          <w:szCs w:val="24"/>
          <w:lang w:val="en-GB"/>
        </w:rPr>
        <w:t>However, the EIR does not provide any complete set of provisions governing protocols, while national rules addressing the topic, assuming such rules exist, can be incompatible with each other. This amounts to an increased level of legal risk regarding the implications of protocols (including the insolvency practitioner’s liability), which in turn could make them less appealing. However, determining the proper interpretation of the applicable provisions might reduce uncertainty.</w:t>
      </w:r>
    </w:p>
    <w:p w14:paraId="0E07940D" w14:textId="77777777" w:rsidR="00586690" w:rsidRDefault="00586690" w:rsidP="00586690">
      <w:pPr>
        <w:spacing w:before="120" w:after="120"/>
        <w:jc w:val="both"/>
        <w:rPr>
          <w:rFonts w:ascii="Garamond" w:hAnsi="Garamond" w:cs="Arial"/>
          <w:sz w:val="24"/>
          <w:szCs w:val="24"/>
          <w:lang w:val="en-GB"/>
        </w:rPr>
      </w:pPr>
    </w:p>
    <w:p w14:paraId="53C7707E" w14:textId="77777777" w:rsidR="009B70A1" w:rsidRPr="00586690" w:rsidRDefault="004940D7" w:rsidP="00CD7CD8">
      <w:pPr>
        <w:pStyle w:val="berschrift3"/>
        <w:rPr>
          <w:rFonts w:cs="Arial"/>
          <w:sz w:val="24"/>
        </w:rPr>
      </w:pPr>
      <w:r w:rsidRPr="00586690">
        <w:t xml:space="preserve">II. </w:t>
      </w:r>
      <w:r w:rsidR="009B70A1" w:rsidRPr="00586690">
        <w:t>Questions</w:t>
      </w:r>
    </w:p>
    <w:p w14:paraId="25336D56" w14:textId="77777777" w:rsidR="009B70A1" w:rsidRPr="00016E69" w:rsidRDefault="009B70A1" w:rsidP="00D71CB7">
      <w:pPr>
        <w:pStyle w:val="Listenabsatz"/>
        <w:numPr>
          <w:ilvl w:val="0"/>
          <w:numId w:val="40"/>
        </w:numPr>
        <w:spacing w:before="120" w:after="120" w:line="276" w:lineRule="auto"/>
        <w:contextualSpacing w:val="0"/>
        <w:rPr>
          <w:rFonts w:cs="Arial"/>
          <w:b/>
          <w:sz w:val="24"/>
          <w:szCs w:val="24"/>
          <w:lang w:val="en-GB"/>
        </w:rPr>
      </w:pPr>
      <w:r w:rsidRPr="00016E69">
        <w:rPr>
          <w:rFonts w:cs="Arial"/>
          <w:b/>
          <w:sz w:val="24"/>
          <w:szCs w:val="24"/>
          <w:lang w:val="en-GB"/>
        </w:rPr>
        <w:t xml:space="preserve">Which </w:t>
      </w:r>
      <w:r w:rsidRPr="00016E69">
        <w:rPr>
          <w:b/>
          <w:sz w:val="24"/>
          <w:szCs w:val="24"/>
          <w:lang w:val="en-US"/>
        </w:rPr>
        <w:t>are</w:t>
      </w:r>
      <w:r w:rsidRPr="00016E69">
        <w:rPr>
          <w:rFonts w:cs="Arial"/>
          <w:b/>
          <w:sz w:val="24"/>
          <w:szCs w:val="24"/>
          <w:lang w:val="en-GB"/>
        </w:rPr>
        <w:t>, in the light of your experience, the main obstacles to the conclusion of protocols?</w:t>
      </w:r>
    </w:p>
    <w:p w14:paraId="40F654BC"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 xml:space="preserve">Lack of clear-cut rules concerning applicable law; </w:t>
      </w:r>
    </w:p>
    <w:p w14:paraId="451D77A1"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 xml:space="preserve">Uncertain legal basis; </w:t>
      </w:r>
    </w:p>
    <w:p w14:paraId="16833255"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Uncertain legal nature;</w:t>
      </w:r>
    </w:p>
    <w:p w14:paraId="422EAE5C"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Inadequate or uncertain liability regime;</w:t>
      </w:r>
    </w:p>
    <w:p w14:paraId="13E3E434"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 xml:space="preserve">Legal uncertainties concerning the power to approve a protocol; </w:t>
      </w:r>
    </w:p>
    <w:p w14:paraId="28B65E22"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Conflicting legal obligations applicable to courts or insolvency practitioners;</w:t>
      </w:r>
    </w:p>
    <w:p w14:paraId="7745FD83"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Lack of incentives;</w:t>
      </w:r>
    </w:p>
    <w:p w14:paraId="531B8F83" w14:textId="77777777" w:rsidR="009B70A1"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Other (please specify).</w:t>
      </w:r>
    </w:p>
    <w:p w14:paraId="635D776B" w14:textId="77777777" w:rsidR="00DD75CC" w:rsidRPr="00016E69" w:rsidRDefault="00DD75CC"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13BB341E" w14:textId="77777777" w:rsidR="00355B87" w:rsidRDefault="00355B87" w:rsidP="007837FC">
      <w:pPr>
        <w:spacing w:before="120" w:after="120"/>
        <w:ind w:left="284"/>
        <w:rPr>
          <w:rFonts w:ascii="Garamond" w:hAnsi="Garamond" w:cs="Arial"/>
          <w:sz w:val="24"/>
          <w:szCs w:val="24"/>
          <w:lang w:val="en-GB"/>
        </w:rPr>
      </w:pPr>
    </w:p>
    <w:p w14:paraId="0FCB1A20" w14:textId="77777777" w:rsidR="009B70A1" w:rsidRPr="00355B87" w:rsidRDefault="009B70A1" w:rsidP="00355B87">
      <w:pPr>
        <w:pStyle w:val="Listenabsatz"/>
        <w:numPr>
          <w:ilvl w:val="0"/>
          <w:numId w:val="40"/>
        </w:numPr>
        <w:spacing w:before="120" w:after="120" w:line="276" w:lineRule="auto"/>
        <w:contextualSpacing w:val="0"/>
        <w:rPr>
          <w:b/>
          <w:sz w:val="24"/>
          <w:szCs w:val="24"/>
          <w:lang w:val="en-US"/>
        </w:rPr>
      </w:pPr>
      <w:r w:rsidRPr="00355B87">
        <w:rPr>
          <w:b/>
          <w:sz w:val="24"/>
          <w:szCs w:val="24"/>
          <w:lang w:val="en-US"/>
        </w:rPr>
        <w:t xml:space="preserve">Are there, in your experience, jurisdictions that provide satisfying answers to such concerns?  </w:t>
      </w:r>
    </w:p>
    <w:p w14:paraId="7DB5EC14" w14:textId="77777777" w:rsidR="00201847" w:rsidRPr="00201847" w:rsidRDefault="00201847" w:rsidP="00201847">
      <w:pPr>
        <w:pStyle w:val="Listenabsatz"/>
        <w:spacing w:before="120" w:after="120" w:line="276" w:lineRule="auto"/>
        <w:ind w:left="360"/>
        <w:contextualSpacing w:val="0"/>
        <w:rPr>
          <w:color w:val="000000"/>
          <w:sz w:val="24"/>
          <w:szCs w:val="24"/>
          <w:lang w:val="en-US"/>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472EACC8" w14:textId="77777777" w:rsidR="00016E69" w:rsidRPr="00016E69" w:rsidRDefault="00016E69" w:rsidP="007837FC">
      <w:pPr>
        <w:spacing w:before="120" w:after="120"/>
        <w:ind w:left="284"/>
        <w:rPr>
          <w:rFonts w:ascii="Garamond" w:hAnsi="Garamond" w:cs="Arial"/>
          <w:sz w:val="24"/>
          <w:szCs w:val="24"/>
          <w:lang w:val="en-GB"/>
        </w:rPr>
      </w:pPr>
    </w:p>
    <w:p w14:paraId="64A755B0" w14:textId="77777777" w:rsidR="009B70A1" w:rsidRPr="00B07777" w:rsidRDefault="009B70A1" w:rsidP="00D71CB7">
      <w:pPr>
        <w:pStyle w:val="Listenabsatz"/>
        <w:numPr>
          <w:ilvl w:val="0"/>
          <w:numId w:val="40"/>
        </w:numPr>
        <w:spacing w:before="120" w:after="120" w:line="276" w:lineRule="auto"/>
        <w:contextualSpacing w:val="0"/>
        <w:rPr>
          <w:rFonts w:cs="Arial"/>
          <w:b/>
          <w:sz w:val="24"/>
          <w:szCs w:val="24"/>
          <w:lang w:val="en-GB"/>
        </w:rPr>
      </w:pPr>
      <w:r w:rsidRPr="00AA6D5E">
        <w:rPr>
          <w:rFonts w:cs="Arial"/>
          <w:b/>
          <w:sz w:val="24"/>
          <w:szCs w:val="24"/>
          <w:lang w:val="en-GB"/>
        </w:rPr>
        <w:t>According to your experience, which issues are commonly addressed in insolvency protocols or agreements?</w:t>
      </w:r>
    </w:p>
    <w:p w14:paraId="028F2366" w14:textId="77777777" w:rsidR="009B70A1" w:rsidRPr="00F13D4B"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F13D4B">
        <w:rPr>
          <w:b/>
          <w:color w:val="000000"/>
          <w:sz w:val="24"/>
          <w:szCs w:val="24"/>
          <w:lang w:val="en-US"/>
        </w:rPr>
        <w:t xml:space="preserve"> </w:t>
      </w:r>
      <w:r w:rsidR="009B70A1" w:rsidRPr="00F13D4B">
        <w:rPr>
          <w:rFonts w:cs="Arial"/>
          <w:sz w:val="24"/>
          <w:szCs w:val="24"/>
          <w:lang w:val="en-GB"/>
        </w:rPr>
        <w:t>Determination of the insolvency estate;</w:t>
      </w:r>
    </w:p>
    <w:p w14:paraId="484DA718"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Assets covered by the parallel proceedings;</w:t>
      </w:r>
    </w:p>
    <w:p w14:paraId="66100F8C"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Allocation and distribution of assets;</w:t>
      </w:r>
    </w:p>
    <w:p w14:paraId="113157D0"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Powers of the insolvency administrators;</w:t>
      </w:r>
    </w:p>
    <w:p w14:paraId="2D0273E5"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Claims process and distribution;</w:t>
      </w:r>
    </w:p>
    <w:p w14:paraId="5224EDE9"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Litigation issues;</w:t>
      </w:r>
    </w:p>
    <w:p w14:paraId="6DC7D5B0"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Discovery and information sharing;</w:t>
      </w:r>
    </w:p>
    <w:p w14:paraId="265DBD2C"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lastRenderedPageBreak/>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Avoidance actions;</w:t>
      </w:r>
    </w:p>
    <w:p w14:paraId="752EFAC0"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Disposition of statutory insolvency rules;</w:t>
      </w:r>
    </w:p>
    <w:p w14:paraId="265699AD"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Resolution of disputes arising out of the protocol;</w:t>
      </w:r>
    </w:p>
    <w:p w14:paraId="63525A7C" w14:textId="77777777" w:rsidR="009B70A1"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 xml:space="preserve">Other (please specify). </w:t>
      </w:r>
    </w:p>
    <w:p w14:paraId="696642AD" w14:textId="77777777" w:rsidR="00201847"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1318DBD0" w14:textId="77777777" w:rsidR="00016E69" w:rsidRPr="00016E69" w:rsidRDefault="00016E69" w:rsidP="007837FC">
      <w:pPr>
        <w:pStyle w:val="Listenabsatz"/>
        <w:spacing w:before="120" w:after="120" w:line="276" w:lineRule="auto"/>
        <w:ind w:left="851"/>
        <w:contextualSpacing w:val="0"/>
        <w:rPr>
          <w:rFonts w:cs="Arial"/>
          <w:sz w:val="24"/>
          <w:szCs w:val="24"/>
          <w:lang w:val="en-GB"/>
        </w:rPr>
      </w:pPr>
    </w:p>
    <w:p w14:paraId="3BB582CB" w14:textId="77777777" w:rsidR="009B70A1" w:rsidRPr="00201847" w:rsidRDefault="009B70A1" w:rsidP="00D71CB7">
      <w:pPr>
        <w:pStyle w:val="Listenabsatz"/>
        <w:numPr>
          <w:ilvl w:val="0"/>
          <w:numId w:val="40"/>
        </w:numPr>
        <w:spacing w:before="120" w:after="120" w:line="276" w:lineRule="auto"/>
        <w:contextualSpacing w:val="0"/>
        <w:rPr>
          <w:b/>
          <w:sz w:val="24"/>
          <w:szCs w:val="24"/>
          <w:lang w:val="en-US"/>
        </w:rPr>
      </w:pPr>
      <w:r w:rsidRPr="00AA6D5E">
        <w:rPr>
          <w:rFonts w:cs="Arial"/>
          <w:b/>
          <w:sz w:val="24"/>
          <w:szCs w:val="24"/>
          <w:lang w:val="en-GB"/>
        </w:rPr>
        <w:t>Which are, in your opinion, the issues that protocols should deal with after the entry into force of the revised European Insolvency Regulation, considering that the Regulation addresses ma</w:t>
      </w:r>
      <w:r w:rsidRPr="00B07777">
        <w:rPr>
          <w:rFonts w:cs="Arial"/>
          <w:b/>
          <w:sz w:val="24"/>
          <w:szCs w:val="24"/>
          <w:lang w:val="en-GB"/>
        </w:rPr>
        <w:t>ny p</w:t>
      </w:r>
      <w:r w:rsidRPr="00F13D4B">
        <w:rPr>
          <w:rFonts w:cs="Arial"/>
          <w:b/>
          <w:sz w:val="24"/>
          <w:szCs w:val="24"/>
          <w:lang w:val="en-GB"/>
        </w:rPr>
        <w:t>roblems that are normally tackled by insolvency protocols or agreements?</w:t>
      </w:r>
    </w:p>
    <w:p w14:paraId="3D67837B" w14:textId="77777777" w:rsidR="00201847" w:rsidRPr="00016E69" w:rsidRDefault="00201847" w:rsidP="00201847">
      <w:pPr>
        <w:pStyle w:val="Listenabsatz"/>
        <w:spacing w:before="120" w:after="120" w:line="276" w:lineRule="auto"/>
        <w:ind w:left="360"/>
        <w:contextualSpacing w:val="0"/>
        <w:rPr>
          <w:b/>
          <w:sz w:val="24"/>
          <w:szCs w:val="24"/>
          <w:lang w:val="en-US"/>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472BE870" w14:textId="77777777" w:rsidR="00016E69" w:rsidRPr="00016E69" w:rsidRDefault="00016E69" w:rsidP="00016E69">
      <w:pPr>
        <w:pStyle w:val="Listenabsatz"/>
        <w:spacing w:before="120" w:after="120" w:line="276" w:lineRule="auto"/>
        <w:ind w:left="360"/>
        <w:contextualSpacing w:val="0"/>
        <w:rPr>
          <w:b/>
          <w:sz w:val="24"/>
          <w:szCs w:val="24"/>
          <w:lang w:val="en-US"/>
        </w:rPr>
      </w:pPr>
    </w:p>
    <w:p w14:paraId="7A80F9F5" w14:textId="77777777" w:rsidR="009B70A1" w:rsidRPr="00016E69" w:rsidRDefault="009B70A1" w:rsidP="00D71CB7">
      <w:pPr>
        <w:pStyle w:val="Listenabsatz"/>
        <w:numPr>
          <w:ilvl w:val="0"/>
          <w:numId w:val="40"/>
        </w:numPr>
        <w:spacing w:before="120" w:after="120" w:line="276" w:lineRule="auto"/>
        <w:contextualSpacing w:val="0"/>
        <w:rPr>
          <w:b/>
          <w:sz w:val="24"/>
          <w:szCs w:val="24"/>
          <w:lang w:val="en-US"/>
        </w:rPr>
      </w:pPr>
      <w:r w:rsidRPr="00016E69">
        <w:rPr>
          <w:b/>
          <w:sz w:val="24"/>
          <w:szCs w:val="24"/>
          <w:lang w:val="en-US"/>
        </w:rPr>
        <w:t>Which is, in your opinion, the legal nature of insolvency protocols in your jurisdiction?</w:t>
      </w:r>
    </w:p>
    <w:p w14:paraId="41023413" w14:textId="77777777" w:rsidR="009B70A1" w:rsidRPr="00B07777" w:rsidRDefault="00201847" w:rsidP="007837FC">
      <w:pPr>
        <w:pStyle w:val="Listenabsatz"/>
        <w:spacing w:before="120" w:after="120" w:line="276" w:lineRule="auto"/>
        <w:ind w:left="851"/>
        <w:contextualSpacing w:val="0"/>
        <w:rPr>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AA6D5E">
        <w:rPr>
          <w:color w:val="000000"/>
          <w:sz w:val="24"/>
          <w:szCs w:val="24"/>
          <w:lang w:val="en-US"/>
        </w:rPr>
        <w:t xml:space="preserve"> </w:t>
      </w:r>
      <w:r w:rsidR="009B70A1" w:rsidRPr="00B07777">
        <w:rPr>
          <w:sz w:val="24"/>
          <w:szCs w:val="24"/>
          <w:lang w:val="en-US"/>
        </w:rPr>
        <w:t xml:space="preserve">Gentlemen’s agreement; </w:t>
      </w:r>
    </w:p>
    <w:p w14:paraId="0C94915A" w14:textId="77777777" w:rsidR="009B70A1" w:rsidRPr="00F13D4B" w:rsidRDefault="00201847" w:rsidP="007837FC">
      <w:pPr>
        <w:pStyle w:val="Listenabsatz"/>
        <w:spacing w:before="120" w:after="120" w:line="276" w:lineRule="auto"/>
        <w:ind w:left="851"/>
        <w:contextualSpacing w:val="0"/>
        <w:rPr>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F13D4B">
        <w:rPr>
          <w:color w:val="000000"/>
          <w:sz w:val="24"/>
          <w:szCs w:val="24"/>
          <w:lang w:val="en-US"/>
        </w:rPr>
        <w:t xml:space="preserve"> </w:t>
      </w:r>
      <w:r w:rsidR="009B70A1" w:rsidRPr="00F13D4B">
        <w:rPr>
          <w:sz w:val="24"/>
          <w:szCs w:val="24"/>
          <w:lang w:val="en-US"/>
        </w:rPr>
        <w:t>Contractual arrangement;</w:t>
      </w:r>
    </w:p>
    <w:p w14:paraId="3A98D202" w14:textId="77777777" w:rsidR="009B70A1" w:rsidRPr="00F13D4B" w:rsidRDefault="00201847" w:rsidP="007837FC">
      <w:pPr>
        <w:pStyle w:val="Listenabsatz"/>
        <w:spacing w:before="120" w:after="120" w:line="276" w:lineRule="auto"/>
        <w:ind w:left="851"/>
        <w:contextualSpacing w:val="0"/>
        <w:rPr>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F13D4B">
        <w:rPr>
          <w:color w:val="000000"/>
          <w:sz w:val="24"/>
          <w:szCs w:val="24"/>
          <w:lang w:val="en-US"/>
        </w:rPr>
        <w:t xml:space="preserve"> </w:t>
      </w:r>
      <w:r w:rsidR="009B70A1" w:rsidRPr="00F13D4B">
        <w:rPr>
          <w:sz w:val="24"/>
          <w:szCs w:val="24"/>
          <w:lang w:val="en-US"/>
        </w:rPr>
        <w:t>Procedural tool;</w:t>
      </w:r>
    </w:p>
    <w:p w14:paraId="13BD65EE" w14:textId="77777777" w:rsidR="009B70A1" w:rsidRDefault="00201847" w:rsidP="007837FC">
      <w:pPr>
        <w:pStyle w:val="Listenabsatz"/>
        <w:spacing w:before="120" w:after="120" w:line="276" w:lineRule="auto"/>
        <w:ind w:left="851"/>
        <w:contextualSpacing w:val="0"/>
        <w:rPr>
          <w:sz w:val="24"/>
          <w:szCs w:val="24"/>
          <w:lang w:val="en-US"/>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sz w:val="24"/>
          <w:szCs w:val="24"/>
          <w:lang w:val="en-US"/>
        </w:rPr>
        <w:t xml:space="preserve">Other (please specify). </w:t>
      </w:r>
    </w:p>
    <w:p w14:paraId="63FC0EB6" w14:textId="77777777" w:rsidR="00201847" w:rsidRDefault="00201847" w:rsidP="007837FC">
      <w:pPr>
        <w:pStyle w:val="Listenabsatz"/>
        <w:spacing w:before="120" w:after="120" w:line="276" w:lineRule="auto"/>
        <w:ind w:left="851"/>
        <w:contextualSpacing w:val="0"/>
        <w:rPr>
          <w:rFonts w:cs="Garamond"/>
          <w:sz w:val="24"/>
          <w:szCs w:val="24"/>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57CD3F3F" w14:textId="77777777" w:rsidR="006A06FC" w:rsidRPr="00016E69" w:rsidRDefault="006A06FC" w:rsidP="007837FC">
      <w:pPr>
        <w:pStyle w:val="Listenabsatz"/>
        <w:spacing w:before="120" w:after="120" w:line="276" w:lineRule="auto"/>
        <w:ind w:left="851"/>
        <w:contextualSpacing w:val="0"/>
        <w:rPr>
          <w:sz w:val="24"/>
          <w:szCs w:val="24"/>
          <w:lang w:val="en-US"/>
        </w:rPr>
      </w:pPr>
    </w:p>
    <w:p w14:paraId="780039A3" w14:textId="77777777" w:rsidR="009B70A1" w:rsidRPr="006A06FC" w:rsidRDefault="009B70A1" w:rsidP="006A06FC">
      <w:pPr>
        <w:pStyle w:val="Listenabsatz"/>
        <w:numPr>
          <w:ilvl w:val="0"/>
          <w:numId w:val="40"/>
        </w:numPr>
        <w:spacing w:before="120" w:after="120" w:line="276" w:lineRule="auto"/>
        <w:contextualSpacing w:val="0"/>
        <w:rPr>
          <w:b/>
          <w:sz w:val="24"/>
          <w:szCs w:val="24"/>
          <w:lang w:val="en-US"/>
        </w:rPr>
      </w:pPr>
      <w:r w:rsidRPr="006A06FC">
        <w:rPr>
          <w:b/>
          <w:sz w:val="24"/>
          <w:szCs w:val="24"/>
          <w:lang w:val="en-US"/>
        </w:rPr>
        <w:t>Should you take the view that the protocol is a contractual arrangement, which law should be applicable?</w:t>
      </w:r>
    </w:p>
    <w:p w14:paraId="3BB015AE" w14:textId="77777777" w:rsidR="00016E69" w:rsidRPr="00201847" w:rsidRDefault="00201847" w:rsidP="00201847">
      <w:pPr>
        <w:pStyle w:val="Listenabsatz"/>
        <w:spacing w:before="120" w:after="120" w:line="276" w:lineRule="auto"/>
        <w:ind w:left="360"/>
        <w:contextualSpacing w:val="0"/>
        <w:rPr>
          <w:color w:val="000000"/>
          <w:sz w:val="24"/>
          <w:szCs w:val="24"/>
          <w:lang w:val="en-US"/>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6D3C8A9A" w14:textId="77777777" w:rsidR="00201847" w:rsidRPr="00016E69" w:rsidRDefault="00201847" w:rsidP="007837FC">
      <w:pPr>
        <w:pStyle w:val="Listenabsatz"/>
        <w:spacing w:before="120" w:after="120" w:line="276" w:lineRule="auto"/>
        <w:ind w:left="357"/>
        <w:contextualSpacing w:val="0"/>
        <w:rPr>
          <w:sz w:val="24"/>
          <w:szCs w:val="24"/>
          <w:lang w:val="en-US"/>
        </w:rPr>
      </w:pPr>
    </w:p>
    <w:p w14:paraId="469E2058" w14:textId="77777777" w:rsidR="009B70A1" w:rsidRPr="00B07777" w:rsidRDefault="009B70A1" w:rsidP="00D71CB7">
      <w:pPr>
        <w:pStyle w:val="Listenabsatz"/>
        <w:numPr>
          <w:ilvl w:val="0"/>
          <w:numId w:val="40"/>
        </w:numPr>
        <w:spacing w:before="120" w:after="120" w:line="276" w:lineRule="auto"/>
        <w:contextualSpacing w:val="0"/>
        <w:rPr>
          <w:rFonts w:cs="Arial"/>
          <w:b/>
          <w:sz w:val="24"/>
          <w:szCs w:val="24"/>
          <w:lang w:val="en-GB"/>
        </w:rPr>
      </w:pPr>
      <w:r w:rsidRPr="00AA6D5E">
        <w:rPr>
          <w:rFonts w:cs="Arial"/>
          <w:b/>
          <w:sz w:val="24"/>
          <w:szCs w:val="24"/>
          <w:lang w:val="en-GB"/>
        </w:rPr>
        <w:t>Please specify whether in your jurisdiction:</w:t>
      </w:r>
    </w:p>
    <w:p w14:paraId="3B4BA71C" w14:textId="77777777" w:rsidR="009B70A1" w:rsidRDefault="009B70A1" w:rsidP="007837FC">
      <w:pPr>
        <w:pStyle w:val="Listenabsatz"/>
        <w:numPr>
          <w:ilvl w:val="0"/>
          <w:numId w:val="16"/>
        </w:numPr>
        <w:spacing w:before="120" w:after="120" w:line="276" w:lineRule="auto"/>
        <w:contextualSpacing w:val="0"/>
        <w:rPr>
          <w:rFonts w:cs="Arial"/>
          <w:sz w:val="24"/>
          <w:szCs w:val="24"/>
          <w:lang w:val="en-GB"/>
        </w:rPr>
      </w:pPr>
      <w:proofErr w:type="gramStart"/>
      <w:r w:rsidRPr="00F13D4B">
        <w:rPr>
          <w:rFonts w:cs="Arial"/>
          <w:sz w:val="24"/>
          <w:szCs w:val="24"/>
          <w:lang w:val="en-GB"/>
        </w:rPr>
        <w:t>there</w:t>
      </w:r>
      <w:proofErr w:type="gramEnd"/>
      <w:r w:rsidRPr="00F13D4B">
        <w:rPr>
          <w:rFonts w:cs="Arial"/>
          <w:sz w:val="24"/>
          <w:szCs w:val="24"/>
          <w:lang w:val="en-GB"/>
        </w:rPr>
        <w:t xml:space="preserve"> are rules, principles or guidelines concerning the conclusion of protocols in cross-border insolvencies.</w:t>
      </w:r>
    </w:p>
    <w:p w14:paraId="6056C086" w14:textId="77777777" w:rsidR="00201847" w:rsidRPr="00201847" w:rsidRDefault="00201847" w:rsidP="00201847">
      <w:pPr>
        <w:pStyle w:val="Listenabsatz"/>
        <w:spacing w:before="120" w:after="120" w:line="276" w:lineRule="auto"/>
        <w:ind w:left="1080"/>
        <w:contextualSpacing w:val="0"/>
        <w:rPr>
          <w:color w:val="000000"/>
          <w:sz w:val="24"/>
          <w:szCs w:val="24"/>
          <w:lang w:val="en-US"/>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7B24CF56" w14:textId="77777777" w:rsidR="00201847" w:rsidRDefault="009B70A1" w:rsidP="00201847">
      <w:pPr>
        <w:pStyle w:val="Listenabsatz"/>
        <w:numPr>
          <w:ilvl w:val="0"/>
          <w:numId w:val="16"/>
        </w:numPr>
        <w:spacing w:before="120" w:after="120" w:line="276" w:lineRule="auto"/>
        <w:contextualSpacing w:val="0"/>
        <w:rPr>
          <w:rFonts w:cs="Arial"/>
          <w:sz w:val="24"/>
          <w:szCs w:val="24"/>
          <w:lang w:val="en-GB"/>
        </w:rPr>
      </w:pPr>
      <w:proofErr w:type="gramStart"/>
      <w:r w:rsidRPr="00F13D4B">
        <w:rPr>
          <w:rFonts w:cs="Arial"/>
          <w:sz w:val="24"/>
          <w:szCs w:val="24"/>
          <w:lang w:val="en-GB"/>
        </w:rPr>
        <w:t>insolvency</w:t>
      </w:r>
      <w:proofErr w:type="gramEnd"/>
      <w:r w:rsidRPr="00F13D4B">
        <w:rPr>
          <w:rFonts w:cs="Arial"/>
          <w:sz w:val="24"/>
          <w:szCs w:val="24"/>
          <w:lang w:val="en-GB"/>
        </w:rPr>
        <w:t xml:space="preserve"> practitioners or courts are entitled to conclude insolvency protocols or agreements. If so, under which conditions or circumstances? (Please distinguish between insolvency practitioners and courts).</w:t>
      </w:r>
    </w:p>
    <w:p w14:paraId="4E32FD58" w14:textId="77777777" w:rsidR="00201847" w:rsidRPr="00201847" w:rsidRDefault="00201847" w:rsidP="00201847">
      <w:pPr>
        <w:pStyle w:val="Listenabsatz"/>
        <w:spacing w:before="120" w:after="120" w:line="276" w:lineRule="auto"/>
        <w:ind w:left="1080"/>
        <w:contextualSpacing w:val="0"/>
        <w:rPr>
          <w:rFonts w:cs="Arial"/>
          <w:sz w:val="24"/>
          <w:szCs w:val="24"/>
          <w:lang w:val="en-GB"/>
        </w:rPr>
      </w:pPr>
      <w:r w:rsidRPr="00201847">
        <w:rPr>
          <w:rFonts w:cs="Garamond"/>
          <w:sz w:val="24"/>
          <w:szCs w:val="24"/>
        </w:rPr>
        <w:fldChar w:fldCharType="begin">
          <w:ffData>
            <w:name w:val="Text1"/>
            <w:enabled/>
            <w:calcOnExit w:val="0"/>
            <w:textInput/>
          </w:ffData>
        </w:fldChar>
      </w:r>
      <w:r w:rsidRPr="00201847">
        <w:rPr>
          <w:rFonts w:cs="Garamond"/>
          <w:sz w:val="24"/>
          <w:szCs w:val="24"/>
        </w:rPr>
        <w:instrText xml:space="preserve"> FORMTEXT </w:instrText>
      </w:r>
      <w:r w:rsidRPr="00201847">
        <w:rPr>
          <w:rFonts w:cs="Garamond"/>
          <w:sz w:val="24"/>
          <w:szCs w:val="24"/>
        </w:rPr>
      </w:r>
      <w:r w:rsidRPr="00201847">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sidRPr="00201847">
        <w:rPr>
          <w:rFonts w:cs="Garamond"/>
          <w:sz w:val="24"/>
          <w:szCs w:val="24"/>
        </w:rPr>
        <w:fldChar w:fldCharType="end"/>
      </w:r>
    </w:p>
    <w:p w14:paraId="152DF06A" w14:textId="77777777" w:rsidR="009B70A1" w:rsidRDefault="009B70A1" w:rsidP="007837FC">
      <w:pPr>
        <w:pStyle w:val="Listenabsatz"/>
        <w:numPr>
          <w:ilvl w:val="0"/>
          <w:numId w:val="16"/>
        </w:numPr>
        <w:spacing w:before="120" w:after="120" w:line="276" w:lineRule="auto"/>
        <w:contextualSpacing w:val="0"/>
        <w:rPr>
          <w:rFonts w:cs="Arial"/>
          <w:sz w:val="24"/>
          <w:szCs w:val="24"/>
          <w:lang w:val="en-GB"/>
        </w:rPr>
      </w:pPr>
      <w:proofErr w:type="gramStart"/>
      <w:r w:rsidRPr="00016E69">
        <w:rPr>
          <w:rFonts w:cs="Arial"/>
          <w:sz w:val="24"/>
          <w:szCs w:val="24"/>
          <w:lang w:val="en-GB"/>
        </w:rPr>
        <w:t>courts</w:t>
      </w:r>
      <w:proofErr w:type="gramEnd"/>
      <w:r w:rsidRPr="00016E69">
        <w:rPr>
          <w:rFonts w:cs="Arial"/>
          <w:sz w:val="24"/>
          <w:szCs w:val="24"/>
          <w:lang w:val="en-GB"/>
        </w:rPr>
        <w:t xml:space="preserve"> are empowered to approve or authorize insolvency protocols or agreements concluded by insolvency practitioners. If so, please specify: (i) which are the legal </w:t>
      </w:r>
      <w:r w:rsidRPr="00016E69">
        <w:rPr>
          <w:rFonts w:cs="Arial"/>
          <w:sz w:val="24"/>
          <w:szCs w:val="24"/>
          <w:lang w:val="en-GB"/>
        </w:rPr>
        <w:lastRenderedPageBreak/>
        <w:t>effects of the court approval or authorization; (ii) under which circumstances a court may refuse approval or authorization.</w:t>
      </w:r>
    </w:p>
    <w:p w14:paraId="1E6CC503" w14:textId="77777777" w:rsidR="00201847" w:rsidRPr="00201847" w:rsidRDefault="00201847" w:rsidP="00201847">
      <w:pPr>
        <w:pStyle w:val="Listenabsatz"/>
        <w:spacing w:before="120" w:after="120" w:line="276" w:lineRule="auto"/>
        <w:ind w:left="1080"/>
        <w:contextualSpacing w:val="0"/>
        <w:rPr>
          <w:color w:val="000000"/>
          <w:sz w:val="24"/>
          <w:szCs w:val="24"/>
          <w:lang w:val="en-US"/>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4DCEC7E6" w14:textId="77777777" w:rsidR="009B70A1" w:rsidRDefault="009B70A1" w:rsidP="007837FC">
      <w:pPr>
        <w:pStyle w:val="Listenabsatz"/>
        <w:numPr>
          <w:ilvl w:val="0"/>
          <w:numId w:val="16"/>
        </w:numPr>
        <w:spacing w:before="120" w:after="120" w:line="276" w:lineRule="auto"/>
        <w:contextualSpacing w:val="0"/>
        <w:rPr>
          <w:rFonts w:cs="Arial"/>
          <w:sz w:val="24"/>
          <w:szCs w:val="24"/>
          <w:lang w:val="en-GB"/>
        </w:rPr>
      </w:pPr>
      <w:proofErr w:type="gramStart"/>
      <w:r w:rsidRPr="00016E69">
        <w:rPr>
          <w:rFonts w:cs="Arial"/>
          <w:sz w:val="24"/>
          <w:szCs w:val="24"/>
          <w:lang w:val="en-GB"/>
        </w:rPr>
        <w:t>protocols</w:t>
      </w:r>
      <w:proofErr w:type="gramEnd"/>
      <w:r w:rsidRPr="00016E69">
        <w:rPr>
          <w:rFonts w:cs="Arial"/>
          <w:sz w:val="24"/>
          <w:szCs w:val="24"/>
          <w:lang w:val="en-GB"/>
        </w:rPr>
        <w:t xml:space="preserve"> have binding effects upon: (i) the insolvency practitioner; (ii) the insolvency estate’s creditors; (iii) the relevant courts; (iv) others.</w:t>
      </w:r>
    </w:p>
    <w:p w14:paraId="10D7AB28" w14:textId="77777777" w:rsidR="00201847" w:rsidRPr="00201847" w:rsidRDefault="00201847" w:rsidP="00201847">
      <w:pPr>
        <w:pStyle w:val="Listenabsatz"/>
        <w:spacing w:before="120" w:after="120" w:line="276" w:lineRule="auto"/>
        <w:ind w:left="1080"/>
        <w:contextualSpacing w:val="0"/>
        <w:rPr>
          <w:color w:val="000000"/>
          <w:sz w:val="24"/>
          <w:szCs w:val="24"/>
          <w:lang w:val="en-US"/>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3CCDE6E3" w14:textId="77777777" w:rsidR="009B70A1" w:rsidRDefault="009B70A1" w:rsidP="007837FC">
      <w:pPr>
        <w:pStyle w:val="Listenabsatz"/>
        <w:numPr>
          <w:ilvl w:val="0"/>
          <w:numId w:val="16"/>
        </w:numPr>
        <w:spacing w:before="120" w:after="120" w:line="276" w:lineRule="auto"/>
        <w:ind w:left="1077" w:hanging="357"/>
        <w:contextualSpacing w:val="0"/>
        <w:rPr>
          <w:rFonts w:cs="Arial"/>
          <w:sz w:val="24"/>
          <w:szCs w:val="24"/>
          <w:lang w:val="en-GB"/>
        </w:rPr>
      </w:pPr>
      <w:proofErr w:type="gramStart"/>
      <w:r w:rsidRPr="00016E69">
        <w:rPr>
          <w:rFonts w:cs="Arial"/>
          <w:sz w:val="24"/>
          <w:szCs w:val="24"/>
          <w:lang w:val="en-GB"/>
        </w:rPr>
        <w:t>an</w:t>
      </w:r>
      <w:proofErr w:type="gramEnd"/>
      <w:r w:rsidRPr="00016E69">
        <w:rPr>
          <w:rFonts w:cs="Arial"/>
          <w:sz w:val="24"/>
          <w:szCs w:val="24"/>
          <w:lang w:val="en-GB"/>
        </w:rPr>
        <w:t xml:space="preserve"> insolvency administrator can be held liable for breach of the terms of an insolvency protocol or agreement.</w:t>
      </w:r>
    </w:p>
    <w:p w14:paraId="421F65A3" w14:textId="77777777" w:rsidR="00201847" w:rsidRPr="00201847" w:rsidRDefault="00201847" w:rsidP="00201847">
      <w:pPr>
        <w:pStyle w:val="Listenabsatz"/>
        <w:spacing w:before="120" w:after="120" w:line="276" w:lineRule="auto"/>
        <w:ind w:left="1080"/>
        <w:contextualSpacing w:val="0"/>
        <w:rPr>
          <w:color w:val="000000"/>
          <w:sz w:val="24"/>
          <w:szCs w:val="24"/>
          <w:lang w:val="en-US"/>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498AE984" w14:textId="77777777" w:rsidR="00016E69" w:rsidRPr="00016E69" w:rsidRDefault="00016E69" w:rsidP="00016E69">
      <w:pPr>
        <w:pStyle w:val="Listenabsatz"/>
        <w:spacing w:before="120" w:after="120" w:line="276" w:lineRule="auto"/>
        <w:ind w:left="1077"/>
        <w:contextualSpacing w:val="0"/>
        <w:rPr>
          <w:rFonts w:cs="Arial"/>
          <w:sz w:val="24"/>
          <w:szCs w:val="24"/>
          <w:lang w:val="en-GB"/>
        </w:rPr>
      </w:pPr>
    </w:p>
    <w:p w14:paraId="712D5BD8" w14:textId="77777777" w:rsidR="009B70A1" w:rsidRDefault="009B70A1" w:rsidP="00D71CB7">
      <w:pPr>
        <w:pStyle w:val="Listenabsatz"/>
        <w:numPr>
          <w:ilvl w:val="0"/>
          <w:numId w:val="40"/>
        </w:numPr>
        <w:spacing w:before="120" w:after="120" w:line="276" w:lineRule="auto"/>
        <w:contextualSpacing w:val="0"/>
        <w:rPr>
          <w:rFonts w:cs="Arial"/>
          <w:sz w:val="24"/>
          <w:szCs w:val="24"/>
          <w:lang w:val="en-GB"/>
        </w:rPr>
      </w:pPr>
      <w:r w:rsidRPr="00016E69">
        <w:rPr>
          <w:rFonts w:cs="Arial"/>
          <w:b/>
          <w:sz w:val="24"/>
          <w:szCs w:val="24"/>
          <w:lang w:val="en-GB"/>
        </w:rPr>
        <w:t>Do you think that protocols may establish coordination mechanisms that go beyond the provisions of the revised European Insolvency Regulation, in particular by setting stricter cooperation duties for insolvency practitioners than those</w:t>
      </w:r>
      <w:r w:rsidRPr="00AA6D5E">
        <w:rPr>
          <w:rFonts w:cs="Arial"/>
          <w:b/>
          <w:sz w:val="24"/>
          <w:szCs w:val="24"/>
          <w:lang w:val="en-GB"/>
        </w:rPr>
        <w:t xml:space="preserve"> applicable to group coordination plans and recommendations If so, please specify any provisions of the revised European Insolvency Regulation that may restrict private autonomy</w:t>
      </w:r>
      <w:r w:rsidRPr="00B07777">
        <w:rPr>
          <w:rFonts w:cs="Arial"/>
          <w:sz w:val="24"/>
          <w:szCs w:val="24"/>
          <w:lang w:val="en-GB"/>
        </w:rPr>
        <w:t>.</w:t>
      </w:r>
    </w:p>
    <w:p w14:paraId="74296713" w14:textId="77777777" w:rsidR="00201847" w:rsidRPr="00201847" w:rsidRDefault="00201847" w:rsidP="00201847">
      <w:pPr>
        <w:pStyle w:val="Listenabsatz"/>
        <w:spacing w:before="120" w:after="120" w:line="276" w:lineRule="auto"/>
        <w:ind w:left="360"/>
        <w:contextualSpacing w:val="0"/>
        <w:rPr>
          <w:color w:val="000000"/>
          <w:sz w:val="24"/>
          <w:szCs w:val="24"/>
          <w:lang w:val="en-US"/>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73643C9C" w14:textId="77777777" w:rsidR="00016E69" w:rsidRPr="00016E69" w:rsidRDefault="00016E69" w:rsidP="00016E69">
      <w:pPr>
        <w:pStyle w:val="Listenabsatz"/>
        <w:spacing w:before="120" w:after="120" w:line="276" w:lineRule="auto"/>
        <w:ind w:left="357"/>
        <w:contextualSpacing w:val="0"/>
        <w:rPr>
          <w:rFonts w:cs="Arial"/>
          <w:sz w:val="24"/>
          <w:szCs w:val="24"/>
          <w:lang w:val="en-GB"/>
        </w:rPr>
      </w:pPr>
    </w:p>
    <w:p w14:paraId="67761E7C" w14:textId="77777777" w:rsidR="009B70A1" w:rsidRPr="00F13D4B" w:rsidRDefault="009B70A1" w:rsidP="00D71CB7">
      <w:pPr>
        <w:pStyle w:val="Listenabsatz"/>
        <w:numPr>
          <w:ilvl w:val="0"/>
          <w:numId w:val="40"/>
        </w:numPr>
        <w:spacing w:before="120" w:after="120" w:line="276" w:lineRule="auto"/>
        <w:contextualSpacing w:val="0"/>
        <w:rPr>
          <w:rFonts w:cs="Arial"/>
          <w:b/>
          <w:sz w:val="24"/>
          <w:szCs w:val="24"/>
          <w:lang w:val="en-GB"/>
        </w:rPr>
      </w:pPr>
      <w:r w:rsidRPr="00016E69">
        <w:rPr>
          <w:rFonts w:cs="Arial"/>
          <w:b/>
          <w:sz w:val="24"/>
          <w:szCs w:val="24"/>
          <w:lang w:val="en-GB"/>
        </w:rPr>
        <w:t xml:space="preserve">Do you believe that coordination of cross-border bank insolvency proceedings under the </w:t>
      </w:r>
      <w:r w:rsidR="00D84D1F" w:rsidRPr="00016E69">
        <w:rPr>
          <w:rFonts w:cs="Arial"/>
          <w:b/>
          <w:sz w:val="24"/>
          <w:szCs w:val="24"/>
          <w:lang w:val="en-GB"/>
        </w:rPr>
        <w:t xml:space="preserve">Bank Recovery and Resolution Directive (Directive 2014/59/EU) </w:t>
      </w:r>
      <w:r w:rsidRPr="00AA6D5E">
        <w:rPr>
          <w:rFonts w:cs="Arial"/>
          <w:b/>
          <w:sz w:val="24"/>
          <w:szCs w:val="24"/>
          <w:lang w:val="en-GB"/>
        </w:rPr>
        <w:t>can serve as a model for the coordination of proceedings falling within the scope of the revised European Insolvency Regulation? If no, please justify your answer. If yes, do you belie</w:t>
      </w:r>
      <w:r w:rsidRPr="00B07777">
        <w:rPr>
          <w:rFonts w:cs="Arial"/>
          <w:b/>
          <w:sz w:val="24"/>
          <w:szCs w:val="24"/>
          <w:lang w:val="en-GB"/>
        </w:rPr>
        <w:t>ve that pro</w:t>
      </w:r>
      <w:r w:rsidRPr="00F13D4B">
        <w:rPr>
          <w:rFonts w:cs="Arial"/>
          <w:b/>
          <w:sz w:val="24"/>
          <w:szCs w:val="24"/>
          <w:lang w:val="en-GB"/>
        </w:rPr>
        <w:t>tocols could provide for:</w:t>
      </w:r>
    </w:p>
    <w:p w14:paraId="397C77F4" w14:textId="77777777" w:rsidR="009B70A1" w:rsidRPr="00F13D4B"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F13D4B">
        <w:rPr>
          <w:color w:val="000000"/>
          <w:sz w:val="24"/>
          <w:szCs w:val="24"/>
          <w:lang w:val="en-US"/>
        </w:rPr>
        <w:t xml:space="preserve"> </w:t>
      </w:r>
      <w:r w:rsidR="009B70A1" w:rsidRPr="00F13D4B">
        <w:rPr>
          <w:rFonts w:cs="Arial"/>
          <w:sz w:val="24"/>
          <w:szCs w:val="24"/>
          <w:lang w:val="en-GB"/>
        </w:rPr>
        <w:t>Enhanced obligations to exchange information;</w:t>
      </w:r>
    </w:p>
    <w:p w14:paraId="77129D9C"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Common drafting of coordination plans;</w:t>
      </w:r>
    </w:p>
    <w:p w14:paraId="20355EF0"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Common policies on public communication;</w:t>
      </w:r>
    </w:p>
    <w:p w14:paraId="3A87DB01" w14:textId="77777777" w:rsidR="009B70A1" w:rsidRPr="00016E69"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r w:rsidR="009B70A1" w:rsidRPr="00016E69">
        <w:rPr>
          <w:rFonts w:cs="Arial"/>
          <w:sz w:val="24"/>
          <w:szCs w:val="24"/>
          <w:lang w:val="en-GB"/>
        </w:rPr>
        <w:t>The establishment of resolution colleges comprising insolvency practitioners;</w:t>
      </w:r>
    </w:p>
    <w:p w14:paraId="08E98996" w14:textId="77777777" w:rsidR="00D16A1B" w:rsidRDefault="00201847" w:rsidP="007837FC">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Check1"/>
            <w:enabled/>
            <w:calcOnExit w:val="0"/>
            <w:checkBox>
              <w:sizeAuto/>
              <w:default w:val="0"/>
            </w:checkBox>
          </w:ffData>
        </w:fldChar>
      </w:r>
      <w:r w:rsidRPr="00D92E65">
        <w:rPr>
          <w:rFonts w:cs="Garamond"/>
          <w:sz w:val="24"/>
          <w:szCs w:val="24"/>
          <w:lang w:val="en-US"/>
        </w:rPr>
        <w:instrText xml:space="preserve"> FORMCHECKBOX </w:instrText>
      </w:r>
      <w:r>
        <w:rPr>
          <w:rFonts w:cs="Garamond"/>
          <w:sz w:val="24"/>
          <w:szCs w:val="24"/>
        </w:rPr>
      </w:r>
      <w:r>
        <w:rPr>
          <w:rFonts w:cs="Garamond"/>
          <w:sz w:val="24"/>
          <w:szCs w:val="24"/>
        </w:rPr>
        <w:fldChar w:fldCharType="end"/>
      </w:r>
      <w:r w:rsidR="009B70A1" w:rsidRPr="00016E69">
        <w:rPr>
          <w:rFonts w:hint="eastAsia"/>
          <w:color w:val="000000"/>
          <w:sz w:val="24"/>
          <w:szCs w:val="24"/>
          <w:lang w:val="en-US"/>
        </w:rPr>
        <w:t xml:space="preserve"> </w:t>
      </w:r>
      <w:proofErr w:type="gramStart"/>
      <w:r w:rsidR="009B70A1" w:rsidRPr="00016E69">
        <w:rPr>
          <w:rFonts w:cs="Arial"/>
          <w:sz w:val="24"/>
          <w:szCs w:val="24"/>
          <w:lang w:val="en-GB"/>
        </w:rPr>
        <w:t>Reciprocal commitments to consider the interests of creditors participating in other proceedings, even in cases where no synthetic secondary insolvency proceedings are opened.</w:t>
      </w:r>
      <w:proofErr w:type="gramEnd"/>
    </w:p>
    <w:p w14:paraId="024FF944" w14:textId="77777777" w:rsidR="0030680A" w:rsidRPr="00016E69" w:rsidRDefault="0030680A" w:rsidP="00D16A1B">
      <w:pPr>
        <w:pStyle w:val="Listenabsatz"/>
        <w:spacing w:before="120" w:after="120" w:line="276" w:lineRule="auto"/>
        <w:ind w:left="851"/>
        <w:contextualSpacing w:val="0"/>
        <w:rPr>
          <w:rFonts w:cs="Arial"/>
          <w:sz w:val="24"/>
          <w:szCs w:val="24"/>
          <w:lang w:val="en-GB"/>
        </w:rPr>
      </w:pPr>
      <w:r>
        <w:rPr>
          <w:rFonts w:cs="Garamond"/>
          <w:sz w:val="24"/>
          <w:szCs w:val="24"/>
        </w:rPr>
        <w:fldChar w:fldCharType="begin">
          <w:ffData>
            <w:name w:val="Text1"/>
            <w:enabled/>
            <w:calcOnExit w:val="0"/>
            <w:textInput/>
          </w:ffData>
        </w:fldChar>
      </w:r>
      <w:r>
        <w:rPr>
          <w:rFonts w:cs="Garamond"/>
          <w:sz w:val="24"/>
          <w:szCs w:val="24"/>
        </w:rPr>
        <w:instrText xml:space="preserve"> FORMTEXT </w:instrText>
      </w:r>
      <w:r>
        <w:rPr>
          <w:rFonts w:cs="Garamond"/>
          <w:sz w:val="24"/>
          <w:szCs w:val="24"/>
        </w:rPr>
      </w:r>
      <w:r>
        <w:rPr>
          <w:rFonts w:cs="Garamond"/>
          <w:sz w:val="24"/>
          <w:szCs w:val="24"/>
        </w:rPr>
        <w:fldChar w:fldCharType="separate"/>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noProof/>
          <w:sz w:val="24"/>
          <w:szCs w:val="24"/>
        </w:rPr>
        <w:t> </w:t>
      </w:r>
      <w:r>
        <w:rPr>
          <w:rFonts w:cs="Garamond"/>
          <w:sz w:val="24"/>
          <w:szCs w:val="24"/>
        </w:rPr>
        <w:fldChar w:fldCharType="end"/>
      </w:r>
    </w:p>
    <w:p w14:paraId="511A5AE7" w14:textId="77777777" w:rsidR="001B435B" w:rsidRPr="00016E69" w:rsidRDefault="001B435B" w:rsidP="007837FC">
      <w:pPr>
        <w:spacing w:before="120" w:after="120"/>
        <w:rPr>
          <w:rFonts w:ascii="Garamond" w:hAnsi="Garamond"/>
          <w:sz w:val="24"/>
          <w:szCs w:val="24"/>
        </w:rPr>
      </w:pPr>
      <w:r w:rsidRPr="00016E69">
        <w:rPr>
          <w:rFonts w:ascii="Garamond" w:hAnsi="Garamond"/>
          <w:sz w:val="24"/>
          <w:szCs w:val="24"/>
        </w:rPr>
        <w:br w:type="page"/>
      </w:r>
    </w:p>
    <w:p w14:paraId="7B1E2868" w14:textId="77777777" w:rsidR="001B435B" w:rsidRPr="00050432" w:rsidRDefault="00586690" w:rsidP="00CD7CD8">
      <w:pPr>
        <w:pStyle w:val="berschrift1"/>
      </w:pPr>
      <w:r w:rsidRPr="00050432">
        <w:lastRenderedPageBreak/>
        <w:t xml:space="preserve">§ 3 - </w:t>
      </w:r>
      <w:r w:rsidR="001B435B" w:rsidRPr="00050432">
        <w:t>Groups of Companies</w:t>
      </w:r>
    </w:p>
    <w:p w14:paraId="4F01227B" w14:textId="77777777" w:rsidR="001B435B" w:rsidRPr="00CD7CD8" w:rsidRDefault="001B435B" w:rsidP="00CD7CD8"/>
    <w:p w14:paraId="79949688" w14:textId="77777777" w:rsidR="001B435B" w:rsidRPr="00016E69" w:rsidRDefault="001B435B" w:rsidP="007837FC">
      <w:pPr>
        <w:spacing w:before="120" w:after="120"/>
        <w:jc w:val="both"/>
        <w:rPr>
          <w:rFonts w:ascii="Garamond" w:hAnsi="Garamond"/>
          <w:sz w:val="24"/>
          <w:szCs w:val="24"/>
        </w:rPr>
      </w:pPr>
      <w:r w:rsidRPr="00016E69">
        <w:rPr>
          <w:rFonts w:ascii="Garamond" w:hAnsi="Garamond"/>
          <w:sz w:val="24"/>
          <w:szCs w:val="24"/>
        </w:rPr>
        <w:t>The EU legislator considers the EIR’s lack of specific rules dealing with groups of companies as an obstacle to the efficient administration of the insolvency of members of a multinational group and to the successful restructuring of the group as a whole. The reform is based on a “procedural coordination” approach which respects each group member’s separate legal identity (cf. Recital 54). Consequently, “substantive consolidation” was not considered a viable option. The following section will focus on key reform issues having an impact on the insolvency of groups of companies: the clarifications of the COMI concept (I.), the coordination between insolvency proceedings relating to group members (II.), and the provisions specifically introducing so called “group coordination proceedings” (III.)</w:t>
      </w:r>
    </w:p>
    <w:p w14:paraId="545FD50B" w14:textId="77777777" w:rsidR="00E845A6" w:rsidRPr="00016E69" w:rsidRDefault="00E845A6" w:rsidP="007837FC">
      <w:pPr>
        <w:spacing w:before="120" w:after="120"/>
        <w:jc w:val="both"/>
        <w:rPr>
          <w:rFonts w:ascii="Garamond" w:hAnsi="Garamond"/>
          <w:sz w:val="24"/>
          <w:szCs w:val="24"/>
        </w:rPr>
      </w:pPr>
    </w:p>
    <w:p w14:paraId="7B7CE7BA" w14:textId="77777777" w:rsidR="005D580E" w:rsidRPr="00C57012" w:rsidRDefault="00923CBE" w:rsidP="00CD7CD8">
      <w:pPr>
        <w:pStyle w:val="berschrift2"/>
      </w:pPr>
      <w:bookmarkStart w:id="12" w:name="_Toc415476075"/>
      <w:r w:rsidRPr="00C57012">
        <w:t xml:space="preserve">A. </w:t>
      </w:r>
      <w:r w:rsidR="001B435B" w:rsidRPr="00C57012">
        <w:t>The COMI Concept and Groups</w:t>
      </w:r>
      <w:bookmarkEnd w:id="12"/>
      <w:r w:rsidR="001B435B" w:rsidRPr="00C57012">
        <w:t xml:space="preserve"> of Companies</w:t>
      </w:r>
      <w:bookmarkStart w:id="13" w:name="_Toc415476076"/>
    </w:p>
    <w:p w14:paraId="01D2B785" w14:textId="77777777" w:rsidR="001B435B" w:rsidRPr="005D580E" w:rsidRDefault="005D580E" w:rsidP="00CD7CD8">
      <w:pPr>
        <w:pStyle w:val="berschrift3"/>
      </w:pPr>
      <w:r w:rsidRPr="005D580E">
        <w:t xml:space="preserve">I. </w:t>
      </w:r>
      <w:r w:rsidR="001B435B" w:rsidRPr="005D580E">
        <w:t>Reform</w:t>
      </w:r>
      <w:bookmarkEnd w:id="13"/>
      <w:r w:rsidR="001B435B" w:rsidRPr="005D580E">
        <w:t xml:space="preserve"> </w:t>
      </w:r>
    </w:p>
    <w:p w14:paraId="0BD720FE" w14:textId="77777777" w:rsidR="00D84D1F" w:rsidRPr="00016E69" w:rsidRDefault="001B435B" w:rsidP="007837FC">
      <w:pPr>
        <w:spacing w:before="120" w:after="120"/>
        <w:jc w:val="both"/>
        <w:rPr>
          <w:rFonts w:ascii="Garamond" w:hAnsi="Garamond"/>
          <w:sz w:val="24"/>
          <w:szCs w:val="24"/>
        </w:rPr>
      </w:pPr>
      <w:r w:rsidRPr="00016E69">
        <w:rPr>
          <w:rFonts w:ascii="Garamond" w:hAnsi="Garamond"/>
          <w:i/>
          <w:sz w:val="24"/>
          <w:szCs w:val="24"/>
        </w:rPr>
        <w:t xml:space="preserve">a) </w:t>
      </w:r>
      <w:r w:rsidR="00D84D1F" w:rsidRPr="00016E69">
        <w:rPr>
          <w:rFonts w:ascii="Garamond" w:hAnsi="Garamond"/>
          <w:i/>
          <w:sz w:val="24"/>
          <w:szCs w:val="24"/>
        </w:rPr>
        <w:t>The definition of group of companies in Article 2 EIR-R.</w:t>
      </w:r>
      <w:r w:rsidR="00D84D1F" w:rsidRPr="00016E69">
        <w:rPr>
          <w:rFonts w:ascii="Garamond" w:hAnsi="Garamond"/>
          <w:sz w:val="24"/>
          <w:szCs w:val="24"/>
        </w:rPr>
        <w:t xml:space="preserve"> Article 2 nos 13 and 14 EIR-R provide for a definition of group of companies which was inserted during the tripartite negotiations. According to no. 13 “group of company” means a parent undertaking and all its subsidiary undertakings. This definition avoids any reference to the concept of a moral person. What counts is the “control” of the parent company over the subsidiary. Usually, the group of companies addressed by the EIR-R consists of at least two moral persons having their COMI in different Member States (cf. Article 56 EIR-R). </w:t>
      </w:r>
    </w:p>
    <w:p w14:paraId="5719622D" w14:textId="77777777" w:rsidR="001B435B" w:rsidRPr="00AA6D5E" w:rsidRDefault="00D84D1F" w:rsidP="007837FC">
      <w:pPr>
        <w:spacing w:before="120" w:after="120"/>
        <w:jc w:val="both"/>
        <w:rPr>
          <w:rFonts w:ascii="Garamond" w:hAnsi="Garamond"/>
          <w:sz w:val="24"/>
          <w:szCs w:val="24"/>
        </w:rPr>
      </w:pPr>
      <w:r w:rsidRPr="00016E69">
        <w:rPr>
          <w:rFonts w:ascii="Garamond" w:hAnsi="Garamond"/>
          <w:sz w:val="24"/>
          <w:szCs w:val="24"/>
        </w:rPr>
        <w:t xml:space="preserve">However, the delineation between a “subsidiary undertaking” (Article 2 no 13) and an </w:t>
      </w:r>
      <w:r w:rsidR="006F2862" w:rsidRPr="00016E69">
        <w:rPr>
          <w:rFonts w:ascii="Garamond" w:hAnsi="Garamond"/>
          <w:sz w:val="24"/>
          <w:szCs w:val="24"/>
        </w:rPr>
        <w:t>“</w:t>
      </w:r>
      <w:r w:rsidRPr="00016E69">
        <w:rPr>
          <w:rFonts w:ascii="Garamond" w:hAnsi="Garamond"/>
          <w:sz w:val="24"/>
          <w:szCs w:val="24"/>
        </w:rPr>
        <w:t>establishment</w:t>
      </w:r>
      <w:r w:rsidR="006F2862" w:rsidRPr="00016E69">
        <w:rPr>
          <w:rFonts w:ascii="Garamond" w:hAnsi="Garamond"/>
          <w:sz w:val="24"/>
          <w:szCs w:val="24"/>
        </w:rPr>
        <w:t>”</w:t>
      </w:r>
      <w:r w:rsidRPr="00016E69">
        <w:rPr>
          <w:rFonts w:ascii="Garamond" w:hAnsi="Garamond"/>
          <w:sz w:val="24"/>
          <w:szCs w:val="24"/>
        </w:rPr>
        <w:t xml:space="preserve"> (Article 2 no 10) is equally not entirely clear as the latter might be a (controlled) moral person (and, as such, a “subsidiary undertaking”). In its judgement </w:t>
      </w:r>
      <w:r w:rsidRPr="00016E69">
        <w:rPr>
          <w:rFonts w:ascii="Garamond" w:hAnsi="Garamond"/>
          <w:i/>
          <w:sz w:val="24"/>
          <w:szCs w:val="24"/>
        </w:rPr>
        <w:t>Burgo Group</w:t>
      </w:r>
      <w:r w:rsidRPr="00016E69">
        <w:rPr>
          <w:rStyle w:val="Funotenzeichen"/>
          <w:rFonts w:ascii="Garamond" w:hAnsi="Garamond"/>
          <w:sz w:val="24"/>
          <w:szCs w:val="24"/>
        </w:rPr>
        <w:footnoteReference w:id="10"/>
      </w:r>
      <w:r w:rsidR="00E845A6" w:rsidRPr="00016E69">
        <w:rPr>
          <w:rFonts w:ascii="Garamond" w:hAnsi="Garamond"/>
          <w:i/>
          <w:sz w:val="24"/>
          <w:szCs w:val="24"/>
        </w:rPr>
        <w:t>,</w:t>
      </w:r>
      <w:r w:rsidRPr="00016E69">
        <w:rPr>
          <w:rFonts w:ascii="Garamond" w:hAnsi="Garamond"/>
          <w:i/>
          <w:sz w:val="24"/>
          <w:szCs w:val="24"/>
        </w:rPr>
        <w:t xml:space="preserve"> </w:t>
      </w:r>
      <w:r w:rsidRPr="00016E69">
        <w:rPr>
          <w:rFonts w:ascii="Garamond" w:hAnsi="Garamond"/>
          <w:sz w:val="24"/>
          <w:szCs w:val="24"/>
        </w:rPr>
        <w:t>the CJEU held that secondary proceedings can be opened when the establishment has a distinct legal personality. Consequently, the EIR-R provides for two alternatives. According to the first one, the court of the parent company opens insolvency proceedings for the whole group (and secondary proceedings may be instituted in the member states where the subsidiary operates); u</w:t>
      </w:r>
      <w:r w:rsidR="00AA6D5E">
        <w:rPr>
          <w:rFonts w:ascii="Garamond" w:hAnsi="Garamond"/>
          <w:sz w:val="24"/>
          <w:szCs w:val="24"/>
        </w:rPr>
        <w:t>nder A</w:t>
      </w:r>
      <w:r w:rsidRPr="00AA6D5E">
        <w:rPr>
          <w:rFonts w:ascii="Garamond" w:hAnsi="Garamond"/>
          <w:sz w:val="24"/>
          <w:szCs w:val="24"/>
        </w:rPr>
        <w:t>rticles 19 and 20 EIR-R the decision on the opening of the proceedings is automatically recognised in all other Member States. In the second option</w:t>
      </w:r>
      <w:r w:rsidRPr="00B07777">
        <w:rPr>
          <w:rFonts w:ascii="Garamond" w:hAnsi="Garamond"/>
          <w:sz w:val="24"/>
          <w:szCs w:val="24"/>
        </w:rPr>
        <w:t>, separate insolvency proceedings may be opened for each individual group member at its respective COMI and these proce</w:t>
      </w:r>
      <w:r w:rsidR="00AA6D5E">
        <w:rPr>
          <w:rFonts w:ascii="Garamond" w:hAnsi="Garamond"/>
          <w:sz w:val="24"/>
          <w:szCs w:val="24"/>
        </w:rPr>
        <w:t>edings may be coordinated by A</w:t>
      </w:r>
      <w:r w:rsidRPr="00AA6D5E">
        <w:rPr>
          <w:rFonts w:ascii="Garamond" w:hAnsi="Garamond"/>
          <w:sz w:val="24"/>
          <w:szCs w:val="24"/>
        </w:rPr>
        <w:t>rticles 56 ff. and 61 ff. EIR-R.</w:t>
      </w:r>
    </w:p>
    <w:p w14:paraId="03D84823" w14:textId="77777777" w:rsidR="001B435B" w:rsidRPr="00AA6D5E" w:rsidRDefault="001B435B" w:rsidP="007837FC">
      <w:pPr>
        <w:spacing w:before="120" w:after="120"/>
        <w:jc w:val="both"/>
        <w:rPr>
          <w:rFonts w:ascii="Garamond" w:hAnsi="Garamond"/>
          <w:sz w:val="24"/>
          <w:szCs w:val="24"/>
        </w:rPr>
      </w:pPr>
      <w:r w:rsidRPr="00AA6D5E">
        <w:rPr>
          <w:rFonts w:ascii="Garamond" w:hAnsi="Garamond"/>
          <w:i/>
          <w:sz w:val="24"/>
          <w:szCs w:val="24"/>
        </w:rPr>
        <w:t xml:space="preserve">b) The COMI. </w:t>
      </w:r>
      <w:r w:rsidRPr="00B07777">
        <w:rPr>
          <w:rFonts w:ascii="Garamond" w:hAnsi="Garamond"/>
          <w:sz w:val="24"/>
          <w:szCs w:val="24"/>
        </w:rPr>
        <w:t xml:space="preserve">The reform aims to refine the COMI concept by including a definition in Article 3 EIR-R which, in essence, </w:t>
      </w:r>
      <w:r w:rsidRPr="00F13D4B">
        <w:rPr>
          <w:rFonts w:ascii="Garamond" w:hAnsi="Garamond"/>
          <w:sz w:val="24"/>
          <w:szCs w:val="24"/>
        </w:rPr>
        <w:t>corresponds to today’s Recital 13. According to Article 3(1) EIR-R, the debtor’s centre of main interest “</w:t>
      </w:r>
      <w:r w:rsidRPr="00AA6D5E">
        <w:rPr>
          <w:rFonts w:ascii="Garamond" w:hAnsi="Garamond"/>
          <w:sz w:val="24"/>
          <w:szCs w:val="24"/>
        </w:rPr>
        <w:t xml:space="preserve">shall be the place where the debtor conducts the administration of its interests on a regular basis and which is ascertainable by third parties.” In addition, the new provision curtails the presumption enshrined in Article 3(1) subpara. 2 according to which the debtor’s COMI </w:t>
      </w:r>
      <w:proofErr w:type="gramStart"/>
      <w:r w:rsidRPr="00AA6D5E">
        <w:rPr>
          <w:rFonts w:ascii="Garamond" w:hAnsi="Garamond"/>
          <w:sz w:val="24"/>
          <w:szCs w:val="24"/>
        </w:rPr>
        <w:t>is</w:t>
      </w:r>
      <w:proofErr w:type="gramEnd"/>
      <w:r w:rsidRPr="00AA6D5E">
        <w:rPr>
          <w:rFonts w:ascii="Garamond" w:hAnsi="Garamond"/>
          <w:sz w:val="24"/>
          <w:szCs w:val="24"/>
        </w:rPr>
        <w:t xml:space="preserve"> located at the place of the company’s registered office. That presumption shall only apply if the registered office has not been moved to another Member State within the three-</w:t>
      </w:r>
      <w:r w:rsidRPr="00AA6D5E">
        <w:rPr>
          <w:rFonts w:ascii="Garamond" w:hAnsi="Garamond"/>
          <w:sz w:val="24"/>
          <w:szCs w:val="24"/>
        </w:rPr>
        <w:lastRenderedPageBreak/>
        <w:t>month period prior to the request for the opening of insolvency proceedings. It is the purpose of this provision to prevent “fraudulent or abusive forum shopping”. If the presumption under Article 3(1) EIR-R applies it should, according to Recital 30, be possible to rebut it “where the company’s central administration is located in a Member State other than that of its registered office, and where a comprehensive assessment of all the relevant factors establishes, in a manner that is ascertainable by third parties, that the company</w:t>
      </w:r>
      <w:r w:rsidR="00AA6D5E">
        <w:rPr>
          <w:rFonts w:ascii="Garamond" w:hAnsi="Garamond"/>
          <w:sz w:val="24"/>
          <w:szCs w:val="24"/>
        </w:rPr>
        <w:t>’</w:t>
      </w:r>
      <w:r w:rsidRPr="00AA6D5E">
        <w:rPr>
          <w:rFonts w:ascii="Garamond" w:hAnsi="Garamond"/>
          <w:sz w:val="24"/>
          <w:szCs w:val="24"/>
        </w:rPr>
        <w:t xml:space="preserve">s actual centre of management and supervision and of the management of its interests is located in that other Member State.” </w:t>
      </w:r>
    </w:p>
    <w:p w14:paraId="1B540B35" w14:textId="77777777" w:rsidR="001B435B" w:rsidRPr="00AA6D5E" w:rsidRDefault="001B435B" w:rsidP="007837FC">
      <w:pPr>
        <w:spacing w:before="120" w:after="120"/>
        <w:jc w:val="both"/>
        <w:rPr>
          <w:rFonts w:ascii="Garamond" w:hAnsi="Garamond"/>
          <w:sz w:val="24"/>
          <w:szCs w:val="24"/>
          <w:lang w:val="en-GB"/>
        </w:rPr>
      </w:pPr>
      <w:r w:rsidRPr="00AA6D5E">
        <w:rPr>
          <w:rFonts w:ascii="Garamond" w:hAnsi="Garamond"/>
          <w:i/>
          <w:sz w:val="24"/>
          <w:szCs w:val="24"/>
          <w:lang w:val="en-GB"/>
        </w:rPr>
        <w:t xml:space="preserve">c) COMI location. </w:t>
      </w:r>
      <w:r w:rsidRPr="00AA6D5E">
        <w:rPr>
          <w:rFonts w:ascii="Garamond" w:hAnsi="Garamond"/>
          <w:sz w:val="24"/>
          <w:szCs w:val="24"/>
          <w:lang w:val="en-GB"/>
        </w:rPr>
        <w:t xml:space="preserve">The European legislator refrained from creating a real “group COMI”. It </w:t>
      </w:r>
      <w:proofErr w:type="gramStart"/>
      <w:r w:rsidRPr="00AA6D5E">
        <w:rPr>
          <w:rFonts w:ascii="Garamond" w:hAnsi="Garamond"/>
          <w:sz w:val="24"/>
          <w:szCs w:val="24"/>
          <w:lang w:val="en-GB"/>
        </w:rPr>
        <w:t>did,</w:t>
      </w:r>
      <w:proofErr w:type="gramEnd"/>
      <w:r w:rsidRPr="00AA6D5E">
        <w:rPr>
          <w:rFonts w:ascii="Garamond" w:hAnsi="Garamond"/>
          <w:sz w:val="24"/>
          <w:szCs w:val="24"/>
          <w:lang w:val="en-GB"/>
        </w:rPr>
        <w:t xml:space="preserve"> however, incorporate major elements of the ECJ’s finding in </w:t>
      </w:r>
      <w:r w:rsidRPr="00B07777">
        <w:rPr>
          <w:rFonts w:ascii="Garamond" w:hAnsi="Garamond"/>
          <w:i/>
          <w:sz w:val="24"/>
          <w:szCs w:val="24"/>
          <w:lang w:val="en-GB"/>
        </w:rPr>
        <w:t>Interedil</w:t>
      </w:r>
      <w:r w:rsidRPr="00F13D4B">
        <w:rPr>
          <w:rStyle w:val="Funotenzeichen"/>
          <w:rFonts w:ascii="Garamond" w:hAnsi="Garamond"/>
          <w:sz w:val="24"/>
          <w:szCs w:val="24"/>
          <w:lang w:val="en-GB"/>
        </w:rPr>
        <w:footnoteReference w:id="11"/>
      </w:r>
      <w:r w:rsidRPr="00F13D4B">
        <w:rPr>
          <w:rFonts w:ascii="Garamond" w:hAnsi="Garamond"/>
          <w:sz w:val="24"/>
          <w:szCs w:val="24"/>
          <w:lang w:val="en-GB"/>
        </w:rPr>
        <w:t xml:space="preserve"> in the EIR-R (see Recitals 28 and 30). The reform, thereby, provides a sufficient basis for a flexible approach taking into account group COMI considerations in order to improve the coordination of insolvencies related to different members of a corporate group. The new Recital 30 highlights the significance of the company’s</w:t>
      </w:r>
      <w:r w:rsidRPr="00AA6D5E">
        <w:rPr>
          <w:rFonts w:ascii="Garamond" w:hAnsi="Garamond"/>
          <w:sz w:val="24"/>
          <w:szCs w:val="24"/>
        </w:rPr>
        <w:t xml:space="preserve"> “</w:t>
      </w:r>
      <w:r w:rsidRPr="00AA6D5E">
        <w:rPr>
          <w:rFonts w:ascii="Garamond" w:hAnsi="Garamond"/>
          <w:sz w:val="24"/>
          <w:szCs w:val="24"/>
          <w:lang w:val="en-GB"/>
        </w:rPr>
        <w:t xml:space="preserve">central administration and supervision” and of the “management of its interests”. It, therefore, albeit cautiously, opens the door for a more “head office” or “mind of management” oriented approach, which, in turn, renders it possible to locate the COMI of a subsidiary company at the COMI of its parent company (or another group company). </w:t>
      </w:r>
    </w:p>
    <w:p w14:paraId="023EB558" w14:textId="77777777" w:rsidR="00EC7919" w:rsidRDefault="001B435B" w:rsidP="00EC7919">
      <w:pPr>
        <w:spacing w:before="120" w:after="120"/>
        <w:jc w:val="both"/>
        <w:rPr>
          <w:rFonts w:ascii="Garamond" w:hAnsi="Garamond"/>
          <w:sz w:val="24"/>
          <w:szCs w:val="24"/>
          <w:lang w:val="en-GB"/>
        </w:rPr>
      </w:pPr>
      <w:r w:rsidRPr="00AA6D5E">
        <w:rPr>
          <w:rFonts w:ascii="Garamond" w:hAnsi="Garamond"/>
          <w:i/>
          <w:sz w:val="24"/>
          <w:szCs w:val="24"/>
          <w:lang w:val="en-GB"/>
        </w:rPr>
        <w:t>d)</w:t>
      </w:r>
      <w:r w:rsidRPr="00AA6D5E">
        <w:rPr>
          <w:rFonts w:ascii="Garamond" w:hAnsi="Garamond"/>
          <w:sz w:val="24"/>
          <w:szCs w:val="24"/>
          <w:lang w:val="en-GB"/>
        </w:rPr>
        <w:t xml:space="preserve"> </w:t>
      </w:r>
      <w:r w:rsidRPr="00AA6D5E">
        <w:rPr>
          <w:rFonts w:ascii="Garamond" w:hAnsi="Garamond"/>
          <w:i/>
          <w:sz w:val="24"/>
          <w:szCs w:val="24"/>
          <w:lang w:val="en-GB"/>
        </w:rPr>
        <w:t>COMI-migration</w:t>
      </w:r>
      <w:r w:rsidRPr="00AA6D5E">
        <w:rPr>
          <w:rFonts w:ascii="Garamond" w:hAnsi="Garamond"/>
          <w:sz w:val="24"/>
          <w:szCs w:val="24"/>
          <w:lang w:val="en-GB"/>
        </w:rPr>
        <w:t xml:space="preserve">. In the wake of the reform process there has been an extensive debate on whether the EIR should </w:t>
      </w:r>
      <w:r w:rsidRPr="00B07777">
        <w:rPr>
          <w:rFonts w:ascii="Garamond" w:hAnsi="Garamond"/>
          <w:sz w:val="24"/>
          <w:szCs w:val="24"/>
          <w:lang w:val="en-GB"/>
        </w:rPr>
        <w:t>contain provisions preventing “abusive” COMI-transfers. The exemption from the presumption that the debtor’s COMI is located at the place of the company’s registered office, that has been added to Article 3</w:t>
      </w:r>
      <w:r w:rsidRPr="00F13D4B">
        <w:rPr>
          <w:rFonts w:ascii="Garamond" w:hAnsi="Garamond"/>
          <w:sz w:val="24"/>
          <w:szCs w:val="24"/>
          <w:lang w:val="en-GB"/>
        </w:rPr>
        <w:t xml:space="preserve"> EIR-R, can only be understood in that context. However, the added value of this amendment seems questionable. The relocation of a company’s registered office does not automatically transfer its COMI. By the same token, the transfer of a company’s COMI does not necessarily require relocating the company’s registered office. The amendment to Article 3(1) EIR-R merely prevents the court from relying on the presumption under Article 3(1) EIR-R when examining its jurisdiction (</w:t>
      </w:r>
      <w:r w:rsidRPr="00F13D4B">
        <w:rPr>
          <w:rFonts w:ascii="Garamond" w:hAnsi="Garamond"/>
          <w:i/>
          <w:sz w:val="24"/>
          <w:szCs w:val="24"/>
          <w:lang w:val="en-GB"/>
        </w:rPr>
        <w:t>ex officio</w:t>
      </w:r>
      <w:r w:rsidRPr="00F13D4B">
        <w:rPr>
          <w:rFonts w:ascii="Garamond" w:hAnsi="Garamond"/>
          <w:sz w:val="24"/>
          <w:szCs w:val="24"/>
          <w:lang w:val="en-GB"/>
        </w:rPr>
        <w:t xml:space="preserve"> according to Article 4 EIR-R) and determining the debtor’s COMI. The provision should not be understood as an indication that the debtor “abusively” relocated its registered office when a request to open insolvency proceedings is filed within three month </w:t>
      </w:r>
      <w:r w:rsidRPr="00016E69">
        <w:rPr>
          <w:rFonts w:ascii="Garamond" w:hAnsi="Garamond"/>
          <w:sz w:val="24"/>
          <w:szCs w:val="24"/>
          <w:lang w:val="en-GB"/>
        </w:rPr>
        <w:t>after such relocation. On balance, the amendment should not have a significant impact on COMI-transfers undertaken with regard to insolvencies of groups of companies, e.g. in order to benefit from a certain restructuring regime.</w:t>
      </w:r>
      <w:bookmarkStart w:id="14" w:name="_Toc415476078"/>
    </w:p>
    <w:p w14:paraId="3ABF9037" w14:textId="77777777" w:rsidR="00EC7919" w:rsidRDefault="00EC7919" w:rsidP="00EC7919">
      <w:pPr>
        <w:spacing w:before="120" w:after="120"/>
        <w:jc w:val="both"/>
        <w:rPr>
          <w:rFonts w:ascii="Garamond" w:hAnsi="Garamond"/>
          <w:sz w:val="24"/>
          <w:szCs w:val="24"/>
          <w:lang w:val="en-GB"/>
        </w:rPr>
      </w:pPr>
    </w:p>
    <w:p w14:paraId="620C5E01" w14:textId="77777777" w:rsidR="001B435B" w:rsidRPr="00C303CB" w:rsidRDefault="00EC7919" w:rsidP="00CD7CD8">
      <w:pPr>
        <w:pStyle w:val="berschrift3"/>
      </w:pPr>
      <w:r w:rsidRPr="00C303CB">
        <w:t xml:space="preserve">II. </w:t>
      </w:r>
      <w:r w:rsidR="001B435B" w:rsidRPr="00C303CB">
        <w:t>Questions</w:t>
      </w:r>
      <w:bookmarkEnd w:id="14"/>
    </w:p>
    <w:p w14:paraId="0F7F3CE9" w14:textId="77777777" w:rsidR="0058599B" w:rsidRPr="00016E69" w:rsidRDefault="0058599B" w:rsidP="00D71CB7">
      <w:pPr>
        <w:pStyle w:val="Listenabsatz"/>
        <w:numPr>
          <w:ilvl w:val="0"/>
          <w:numId w:val="40"/>
        </w:numPr>
        <w:spacing w:before="120" w:after="120"/>
        <w:contextualSpacing w:val="0"/>
        <w:rPr>
          <w:b/>
          <w:sz w:val="24"/>
          <w:szCs w:val="24"/>
          <w:lang w:val="en-US"/>
        </w:rPr>
      </w:pPr>
      <w:r w:rsidRPr="00016E69">
        <w:rPr>
          <w:b/>
          <w:sz w:val="24"/>
          <w:szCs w:val="24"/>
          <w:lang w:val="en-US"/>
        </w:rPr>
        <w:t>How would you delineate the concept of “establishment “(Article 2 no 10) from the concept of “subsidiary undertaking” (Article 2 no 13)</w:t>
      </w:r>
    </w:p>
    <w:p w14:paraId="1F506361" w14:textId="77777777" w:rsidR="0058599B" w:rsidRPr="00016E69" w:rsidRDefault="00201847" w:rsidP="007837FC">
      <w:pPr>
        <w:spacing w:before="120" w:after="120"/>
        <w:ind w:left="720"/>
        <w:jc w:val="both"/>
        <w:rPr>
          <w:rFonts w:ascii="Garamond" w:hAnsi="Garamond"/>
          <w:sz w:val="24"/>
          <w:szCs w:val="24"/>
        </w:rPr>
      </w:pPr>
      <w:r>
        <w:rPr>
          <w:rFonts w:ascii="Garamond" w:hAnsi="Garamond" w:cs="Garamond"/>
          <w:sz w:val="24"/>
          <w:szCs w:val="24"/>
        </w:rPr>
        <w:fldChar w:fldCharType="begin">
          <w:ffData>
            <w:name w:val="Check1"/>
            <w:enabled/>
            <w:calcOnExit w:val="0"/>
            <w:checkBox>
              <w:sizeAuto/>
              <w:default w:val="0"/>
            </w:checkBox>
          </w:ffData>
        </w:fldChar>
      </w:r>
      <w:r w:rsidRPr="00D92E65">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r w:rsidR="0058599B" w:rsidRPr="00016E69">
        <w:rPr>
          <w:rFonts w:ascii="Garamond" w:hAnsi="Garamond"/>
          <w:sz w:val="24"/>
          <w:szCs w:val="24"/>
        </w:rPr>
        <w:t xml:space="preserve"> Both concepts are separated and operate individually. It depends on the decision opening insolvency as whether or not the insolvency of the parent undertaking englobes also subsidiaries operating in other Member States.</w:t>
      </w:r>
    </w:p>
    <w:p w14:paraId="6A014492" w14:textId="77777777" w:rsidR="0058599B" w:rsidRPr="00AA6D5E" w:rsidRDefault="00201847" w:rsidP="007837FC">
      <w:pPr>
        <w:spacing w:before="120" w:after="120"/>
        <w:ind w:left="720"/>
        <w:jc w:val="both"/>
        <w:rPr>
          <w:rFonts w:ascii="Garamond" w:hAnsi="Garamond"/>
          <w:sz w:val="24"/>
          <w:szCs w:val="24"/>
        </w:rPr>
      </w:pPr>
      <w:r>
        <w:rPr>
          <w:rFonts w:ascii="Garamond" w:hAnsi="Garamond" w:cs="Garamond"/>
          <w:sz w:val="24"/>
          <w:szCs w:val="24"/>
        </w:rPr>
        <w:fldChar w:fldCharType="begin">
          <w:ffData>
            <w:name w:val="Check1"/>
            <w:enabled/>
            <w:calcOnExit w:val="0"/>
            <w:checkBox>
              <w:sizeAuto/>
              <w:default w:val="0"/>
            </w:checkBox>
          </w:ffData>
        </w:fldChar>
      </w:r>
      <w:r w:rsidRPr="00D92E65">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r w:rsidR="0058599B" w:rsidRPr="00016E69">
        <w:rPr>
          <w:rFonts w:ascii="Garamond" w:hAnsi="Garamond"/>
          <w:sz w:val="24"/>
          <w:szCs w:val="24"/>
        </w:rPr>
        <w:t xml:space="preserve"> Both concepts are exclusive in the sense that secondary proceedings are not possible with regard to a “subsidiary undertaking”</w:t>
      </w:r>
      <w:r w:rsidR="00AA6D5E">
        <w:rPr>
          <w:rFonts w:ascii="Garamond" w:hAnsi="Garamond"/>
          <w:sz w:val="24"/>
          <w:szCs w:val="24"/>
        </w:rPr>
        <w:t>.</w:t>
      </w:r>
    </w:p>
    <w:p w14:paraId="4DB0880E" w14:textId="77777777" w:rsidR="0058599B" w:rsidRPr="00AA6D5E" w:rsidRDefault="00201847" w:rsidP="007837FC">
      <w:pPr>
        <w:spacing w:before="120" w:after="120"/>
        <w:ind w:left="720"/>
        <w:jc w:val="both"/>
        <w:rPr>
          <w:rFonts w:ascii="Garamond" w:hAnsi="Garamond"/>
          <w:sz w:val="24"/>
          <w:szCs w:val="24"/>
        </w:rPr>
      </w:pPr>
      <w:r>
        <w:rPr>
          <w:rFonts w:ascii="Garamond" w:hAnsi="Garamond" w:cs="Garamond"/>
          <w:sz w:val="24"/>
          <w:szCs w:val="24"/>
        </w:rPr>
        <w:lastRenderedPageBreak/>
        <w:fldChar w:fldCharType="begin">
          <w:ffData>
            <w:name w:val="Check1"/>
            <w:enabled/>
            <w:calcOnExit w:val="0"/>
            <w:checkBox>
              <w:sizeAuto/>
              <w:default w:val="0"/>
            </w:checkBox>
          </w:ffData>
        </w:fldChar>
      </w:r>
      <w:r w:rsidRPr="00D92E65">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r w:rsidR="0058599B" w:rsidRPr="00AA6D5E">
        <w:rPr>
          <w:rFonts w:ascii="Garamond" w:hAnsi="Garamond"/>
          <w:sz w:val="24"/>
          <w:szCs w:val="24"/>
        </w:rPr>
        <w:t xml:space="preserve"> There is no need to delineate the concepts</w:t>
      </w:r>
      <w:r w:rsidR="00AA6D5E">
        <w:rPr>
          <w:rFonts w:ascii="Garamond" w:hAnsi="Garamond"/>
          <w:sz w:val="24"/>
          <w:szCs w:val="24"/>
        </w:rPr>
        <w:t>.</w:t>
      </w:r>
    </w:p>
    <w:p w14:paraId="086053F6" w14:textId="77777777" w:rsidR="00AA6D5E" w:rsidRDefault="00201847" w:rsidP="007837FC">
      <w:pPr>
        <w:spacing w:before="120" w:after="120"/>
        <w:ind w:left="720"/>
        <w:jc w:val="both"/>
        <w:rPr>
          <w:rFonts w:ascii="Garamond" w:hAnsi="Garamond"/>
          <w:sz w:val="24"/>
          <w:szCs w:val="24"/>
        </w:rPr>
      </w:pPr>
      <w:r>
        <w:rPr>
          <w:rFonts w:ascii="Garamond" w:hAnsi="Garamond" w:cs="Garamond"/>
          <w:sz w:val="24"/>
          <w:szCs w:val="24"/>
        </w:rPr>
        <w:fldChar w:fldCharType="begin">
          <w:ffData>
            <w:name w:val="Check1"/>
            <w:enabled/>
            <w:calcOnExit w:val="0"/>
            <w:checkBox>
              <w:sizeAuto/>
              <w:default w:val="0"/>
            </w:checkBox>
          </w:ffData>
        </w:fldChar>
      </w:r>
      <w:r w:rsidRPr="00D92E65">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r w:rsidR="0058599B" w:rsidRPr="00AA6D5E">
        <w:rPr>
          <w:rFonts w:ascii="Garamond" w:hAnsi="Garamond"/>
          <w:sz w:val="24"/>
          <w:szCs w:val="24"/>
        </w:rPr>
        <w:t xml:space="preserve"> </w:t>
      </w:r>
      <w:proofErr w:type="gramStart"/>
      <w:r w:rsidR="0058599B" w:rsidRPr="00AA6D5E">
        <w:rPr>
          <w:rFonts w:ascii="Garamond" w:hAnsi="Garamond"/>
          <w:sz w:val="24"/>
          <w:szCs w:val="24"/>
        </w:rPr>
        <w:t>Other answer</w:t>
      </w:r>
      <w:r w:rsidR="00AA6D5E">
        <w:rPr>
          <w:rFonts w:ascii="Garamond" w:hAnsi="Garamond"/>
          <w:sz w:val="24"/>
          <w:szCs w:val="24"/>
        </w:rPr>
        <w:t>.</w:t>
      </w:r>
      <w:proofErr w:type="gramEnd"/>
    </w:p>
    <w:p w14:paraId="7281B3CB" w14:textId="77777777" w:rsidR="00201847" w:rsidRDefault="00201847" w:rsidP="007837FC">
      <w:pPr>
        <w:spacing w:before="120" w:after="120"/>
        <w:ind w:left="720"/>
        <w:jc w:val="both"/>
        <w:rPr>
          <w:rFonts w:ascii="Garamond" w:hAnsi="Garamond" w:cs="Garamond"/>
          <w:sz w:val="24"/>
          <w:szCs w:val="24"/>
        </w:rPr>
      </w:pPr>
      <w:r>
        <w:rPr>
          <w:rFonts w:ascii="Garamond" w:hAnsi="Garamond" w:cs="Garamond"/>
          <w:sz w:val="24"/>
          <w:szCs w:val="24"/>
        </w:rPr>
        <w:fldChar w:fldCharType="begin">
          <w:ffData>
            <w:name w:val="Text1"/>
            <w:enabled/>
            <w:calcOnExit w:val="0"/>
            <w:textInput/>
          </w:ffData>
        </w:fldChar>
      </w:r>
      <w:r>
        <w:rPr>
          <w:rFonts w:ascii="Garamond" w:hAnsi="Garamond" w:cs="Garamond"/>
          <w:sz w:val="24"/>
          <w:szCs w:val="24"/>
        </w:rPr>
        <w:instrText xml:space="preserve"> FORMTEXT </w:instrText>
      </w:r>
      <w:r>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p>
    <w:p w14:paraId="74DB721F" w14:textId="77777777" w:rsidR="00201847" w:rsidRPr="00AA6D5E" w:rsidRDefault="00201847" w:rsidP="007837FC">
      <w:pPr>
        <w:spacing w:before="120" w:after="120"/>
        <w:ind w:left="720"/>
        <w:jc w:val="both"/>
        <w:rPr>
          <w:rFonts w:ascii="Garamond" w:hAnsi="Garamond"/>
          <w:sz w:val="24"/>
          <w:szCs w:val="24"/>
        </w:rPr>
      </w:pPr>
    </w:p>
    <w:p w14:paraId="21B60760" w14:textId="77777777" w:rsidR="0058599B" w:rsidRPr="00B07777" w:rsidRDefault="0058599B" w:rsidP="00D71CB7">
      <w:pPr>
        <w:pStyle w:val="Listenabsatz"/>
        <w:numPr>
          <w:ilvl w:val="0"/>
          <w:numId w:val="40"/>
        </w:numPr>
        <w:spacing w:before="120" w:after="120"/>
        <w:contextualSpacing w:val="0"/>
        <w:rPr>
          <w:sz w:val="24"/>
          <w:szCs w:val="24"/>
          <w:lang w:val="en-US"/>
        </w:rPr>
      </w:pPr>
      <w:r w:rsidRPr="00AA6D5E">
        <w:rPr>
          <w:b/>
          <w:sz w:val="24"/>
          <w:szCs w:val="24"/>
          <w:lang w:val="en-US"/>
        </w:rPr>
        <w:t>Do the new coordination proceedings for group of companies exclude the application of main and secondary proceedings within a group of companies?</w:t>
      </w:r>
    </w:p>
    <w:p w14:paraId="5F45A7F1" w14:textId="77777777" w:rsidR="0058599B" w:rsidRPr="00F13D4B" w:rsidRDefault="00201847" w:rsidP="00D16A1B">
      <w:pPr>
        <w:spacing w:before="120" w:after="120"/>
        <w:ind w:left="720"/>
        <w:jc w:val="both"/>
        <w:rPr>
          <w:rFonts w:ascii="Garamond" w:hAnsi="Garamond"/>
          <w:sz w:val="24"/>
          <w:szCs w:val="24"/>
        </w:rPr>
      </w:pPr>
      <w:r>
        <w:rPr>
          <w:rFonts w:ascii="Garamond" w:hAnsi="Garamond" w:cs="Garamond"/>
          <w:sz w:val="24"/>
          <w:szCs w:val="24"/>
        </w:rPr>
        <w:fldChar w:fldCharType="begin">
          <w:ffData>
            <w:name w:val="Check1"/>
            <w:enabled/>
            <w:calcOnExit w:val="0"/>
            <w:checkBox>
              <w:sizeAuto/>
              <w:default w:val="0"/>
            </w:checkBox>
          </w:ffData>
        </w:fldChar>
      </w:r>
      <w:r w:rsidRPr="00D92E65">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r w:rsidR="0058599B" w:rsidRPr="00F13D4B">
        <w:rPr>
          <w:rFonts w:ascii="Garamond" w:hAnsi="Garamond"/>
          <w:sz w:val="24"/>
          <w:szCs w:val="24"/>
        </w:rPr>
        <w:t xml:space="preserve"> Yes, both concepts are exclusive. Thus, the case-law of the CJEU (case C-327/13) does not longer apply to the definition of the subsidiary in Article 2 </w:t>
      </w:r>
      <w:proofErr w:type="gramStart"/>
      <w:r w:rsidR="0058599B" w:rsidRPr="00F13D4B">
        <w:rPr>
          <w:rFonts w:ascii="Garamond" w:hAnsi="Garamond"/>
          <w:sz w:val="24"/>
          <w:szCs w:val="24"/>
        </w:rPr>
        <w:t>no</w:t>
      </w:r>
      <w:proofErr w:type="gramEnd"/>
      <w:r w:rsidR="0058599B" w:rsidRPr="00F13D4B">
        <w:rPr>
          <w:rFonts w:ascii="Garamond" w:hAnsi="Garamond"/>
          <w:sz w:val="24"/>
          <w:szCs w:val="24"/>
        </w:rPr>
        <w:t xml:space="preserve"> 10.</w:t>
      </w:r>
    </w:p>
    <w:p w14:paraId="0E48BFFD" w14:textId="77777777" w:rsidR="0058599B" w:rsidRPr="00016E69" w:rsidRDefault="00201847" w:rsidP="007837FC">
      <w:pPr>
        <w:spacing w:before="120" w:after="120"/>
        <w:ind w:left="720"/>
        <w:jc w:val="both"/>
        <w:rPr>
          <w:rFonts w:ascii="Garamond" w:hAnsi="Garamond"/>
          <w:sz w:val="24"/>
          <w:szCs w:val="24"/>
        </w:rPr>
      </w:pPr>
      <w:r>
        <w:rPr>
          <w:rFonts w:ascii="Garamond" w:hAnsi="Garamond" w:cs="Garamond"/>
          <w:sz w:val="24"/>
          <w:szCs w:val="24"/>
        </w:rPr>
        <w:fldChar w:fldCharType="begin">
          <w:ffData>
            <w:name w:val="Check1"/>
            <w:enabled/>
            <w:calcOnExit w:val="0"/>
            <w:checkBox>
              <w:sizeAuto/>
              <w:default w:val="0"/>
            </w:checkBox>
          </w:ffData>
        </w:fldChar>
      </w:r>
      <w:r w:rsidRPr="00D92E65">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r w:rsidR="0058599B" w:rsidRPr="00016E69">
        <w:rPr>
          <w:rFonts w:ascii="Garamond" w:hAnsi="Garamond"/>
          <w:sz w:val="24"/>
          <w:szCs w:val="24"/>
        </w:rPr>
        <w:t xml:space="preserve"> No. The EIR-R provides for two different approaches regarding the coordination of insolvency proceedings within a group of companies.</w:t>
      </w:r>
    </w:p>
    <w:p w14:paraId="17FA14EB" w14:textId="77777777" w:rsidR="0058599B" w:rsidRDefault="00201847" w:rsidP="007837FC">
      <w:pPr>
        <w:spacing w:before="120" w:after="120"/>
        <w:ind w:left="720"/>
        <w:jc w:val="both"/>
        <w:rPr>
          <w:rFonts w:ascii="Garamond" w:hAnsi="Garamond"/>
          <w:sz w:val="24"/>
          <w:szCs w:val="24"/>
        </w:rPr>
      </w:pPr>
      <w:r>
        <w:rPr>
          <w:rFonts w:ascii="Garamond" w:hAnsi="Garamond" w:cs="Garamond"/>
          <w:sz w:val="24"/>
          <w:szCs w:val="24"/>
        </w:rPr>
        <w:fldChar w:fldCharType="begin">
          <w:ffData>
            <w:name w:val="Check1"/>
            <w:enabled/>
            <w:calcOnExit w:val="0"/>
            <w:checkBox>
              <w:sizeAuto/>
              <w:default w:val="0"/>
            </w:checkBox>
          </w:ffData>
        </w:fldChar>
      </w:r>
      <w:r w:rsidRPr="00D92E65">
        <w:rPr>
          <w:rFonts w:ascii="Garamond" w:hAnsi="Garamond" w:cs="Garamond"/>
          <w:sz w:val="24"/>
          <w:szCs w:val="24"/>
        </w:rPr>
        <w:instrText xml:space="preserve"> FORMCHECKBOX </w:instrText>
      </w:r>
      <w:r>
        <w:rPr>
          <w:rFonts w:ascii="Garamond" w:hAnsi="Garamond" w:cs="Garamond"/>
          <w:sz w:val="24"/>
          <w:szCs w:val="24"/>
        </w:rPr>
      </w:r>
      <w:r>
        <w:rPr>
          <w:rFonts w:ascii="Garamond" w:hAnsi="Garamond" w:cs="Garamond"/>
          <w:sz w:val="24"/>
          <w:szCs w:val="24"/>
        </w:rPr>
        <w:fldChar w:fldCharType="end"/>
      </w:r>
      <w:r w:rsidR="0058599B" w:rsidRPr="00016E69">
        <w:rPr>
          <w:rFonts w:ascii="Garamond" w:hAnsi="Garamond"/>
          <w:sz w:val="24"/>
          <w:szCs w:val="24"/>
        </w:rPr>
        <w:t xml:space="preserve"> </w:t>
      </w:r>
      <w:proofErr w:type="gramStart"/>
      <w:r w:rsidR="0058599B" w:rsidRPr="00016E69">
        <w:rPr>
          <w:rFonts w:ascii="Garamond" w:hAnsi="Garamond"/>
          <w:sz w:val="24"/>
          <w:szCs w:val="24"/>
        </w:rPr>
        <w:t>Other answer</w:t>
      </w:r>
      <w:r w:rsidR="00AA6D5E">
        <w:rPr>
          <w:rFonts w:ascii="Garamond" w:hAnsi="Garamond"/>
          <w:sz w:val="24"/>
          <w:szCs w:val="24"/>
        </w:rPr>
        <w:t>.</w:t>
      </w:r>
      <w:proofErr w:type="gramEnd"/>
    </w:p>
    <w:p w14:paraId="70014433" w14:textId="77777777" w:rsidR="00201847" w:rsidRDefault="00201847" w:rsidP="00201847">
      <w:pPr>
        <w:spacing w:before="120" w:after="120"/>
        <w:ind w:left="720"/>
        <w:jc w:val="both"/>
        <w:rPr>
          <w:rFonts w:ascii="Garamond" w:hAnsi="Garamond" w:cs="Garamond"/>
          <w:sz w:val="24"/>
          <w:szCs w:val="24"/>
        </w:rPr>
      </w:pPr>
      <w:r>
        <w:rPr>
          <w:rFonts w:ascii="Garamond" w:hAnsi="Garamond" w:cs="Garamond"/>
          <w:sz w:val="24"/>
          <w:szCs w:val="24"/>
        </w:rPr>
        <w:fldChar w:fldCharType="begin">
          <w:ffData>
            <w:name w:val="Text1"/>
            <w:enabled/>
            <w:calcOnExit w:val="0"/>
            <w:textInput/>
          </w:ffData>
        </w:fldChar>
      </w:r>
      <w:r>
        <w:rPr>
          <w:rFonts w:ascii="Garamond" w:hAnsi="Garamond" w:cs="Garamond"/>
          <w:sz w:val="24"/>
          <w:szCs w:val="24"/>
        </w:rPr>
        <w:instrText xml:space="preserve"> FORMTEXT </w:instrText>
      </w:r>
      <w:r>
        <w:rPr>
          <w:rFonts w:ascii="Garamond" w:hAnsi="Garamond" w:cs="Garamond"/>
          <w:sz w:val="24"/>
          <w:szCs w:val="24"/>
        </w:rPr>
      </w:r>
      <w:r>
        <w:rPr>
          <w:rFonts w:ascii="Garamond" w:hAnsi="Garamond" w:cs="Garamond"/>
          <w:sz w:val="24"/>
          <w:szCs w:val="24"/>
        </w:rPr>
        <w:fldChar w:fldCharType="separate"/>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noProof/>
          <w:sz w:val="24"/>
          <w:szCs w:val="24"/>
        </w:rPr>
        <w:t> </w:t>
      </w:r>
      <w:r>
        <w:rPr>
          <w:rFonts w:ascii="Garamond" w:hAnsi="Garamond" w:cs="Garamond"/>
          <w:sz w:val="24"/>
          <w:szCs w:val="24"/>
        </w:rPr>
        <w:fldChar w:fldCharType="end"/>
      </w:r>
    </w:p>
    <w:p w14:paraId="7BA247A5" w14:textId="77777777" w:rsidR="00201847" w:rsidRDefault="00201847" w:rsidP="00201847">
      <w:pPr>
        <w:spacing w:before="120" w:after="120"/>
        <w:ind w:left="720"/>
        <w:jc w:val="both"/>
        <w:rPr>
          <w:rFonts w:ascii="Garamond" w:hAnsi="Garamond" w:cs="Garamond"/>
          <w:sz w:val="24"/>
          <w:szCs w:val="24"/>
        </w:rPr>
      </w:pPr>
    </w:p>
    <w:p w14:paraId="1BA36D2B" w14:textId="77777777" w:rsidR="00134358" w:rsidRPr="00FF1DC7" w:rsidRDefault="00134358" w:rsidP="000D1B0F">
      <w:pPr>
        <w:pStyle w:val="Listenabsatz"/>
        <w:numPr>
          <w:ilvl w:val="0"/>
          <w:numId w:val="40"/>
        </w:numPr>
        <w:spacing w:before="120" w:after="120"/>
        <w:rPr>
          <w:sz w:val="24"/>
          <w:szCs w:val="24"/>
          <w:lang w:val="en-US"/>
        </w:rPr>
      </w:pPr>
      <w:r w:rsidRPr="00FF1DC7">
        <w:rPr>
          <w:b/>
          <w:sz w:val="24"/>
          <w:szCs w:val="24"/>
          <w:lang w:val="en-US"/>
        </w:rPr>
        <w:t>Do the provisions characterized as “</w:t>
      </w:r>
      <w:r w:rsidRPr="000D1B0F">
        <w:rPr>
          <w:b/>
          <w:sz w:val="24"/>
          <w:szCs w:val="24"/>
          <w:lang w:val="en-US"/>
        </w:rPr>
        <w:t>safeguards aimed at preventing fraudulent or</w:t>
      </w:r>
      <w:r w:rsidRPr="00FF1DC7">
        <w:rPr>
          <w:b/>
          <w:i/>
          <w:sz w:val="24"/>
          <w:szCs w:val="24"/>
          <w:lang w:val="en-US"/>
        </w:rPr>
        <w:t xml:space="preserve"> abusive forum shopping</w:t>
      </w:r>
      <w:r w:rsidRPr="00FF1DC7">
        <w:rPr>
          <w:b/>
          <w:sz w:val="24"/>
          <w:szCs w:val="24"/>
          <w:lang w:val="en-US"/>
        </w:rPr>
        <w:t xml:space="preserve">” (cf. Recital 5 and Recitals 28 to 31 EIR-R), in particular the exemption from the presumption in favor of the place of the registered office included in Article 3 EIR-R, in your view, raise practical problems with regard to insolvencies of groups of companies? </w:t>
      </w:r>
    </w:p>
    <w:p w14:paraId="679FD792" w14:textId="77777777" w:rsidR="0058599B" w:rsidRPr="00111DDB" w:rsidRDefault="00201847" w:rsidP="00111DDB">
      <w:pPr>
        <w:spacing w:before="120" w:after="120"/>
        <w:ind w:left="720"/>
        <w:jc w:val="both"/>
        <w:rPr>
          <w:rFonts w:ascii="Garamond" w:hAnsi="Garamond"/>
          <w:sz w:val="24"/>
          <w:szCs w:val="24"/>
        </w:rPr>
      </w:pPr>
      <w:r w:rsidRPr="00111DDB">
        <w:rPr>
          <w:rFonts w:ascii="Garamond" w:hAnsi="Garamond"/>
          <w:sz w:val="24"/>
          <w:szCs w:val="24"/>
        </w:rPr>
        <w:fldChar w:fldCharType="begin">
          <w:ffData>
            <w:name w:val="Check1"/>
            <w:enabled/>
            <w:calcOnExit w:val="0"/>
            <w:checkBox>
              <w:sizeAuto/>
              <w:default w:val="0"/>
            </w:checkBox>
          </w:ffData>
        </w:fldChar>
      </w:r>
      <w:r w:rsidRPr="00111DDB">
        <w:rPr>
          <w:rFonts w:ascii="Garamond" w:hAnsi="Garamond"/>
          <w:sz w:val="24"/>
          <w:szCs w:val="24"/>
        </w:rPr>
        <w:instrText xml:space="preserve"> FORMCHECKBOX </w:instrText>
      </w:r>
      <w:r w:rsidRPr="00111DDB">
        <w:rPr>
          <w:rFonts w:ascii="Garamond" w:hAnsi="Garamond"/>
          <w:sz w:val="24"/>
          <w:szCs w:val="24"/>
        </w:rPr>
      </w:r>
      <w:r w:rsidRPr="00111DDB">
        <w:rPr>
          <w:rFonts w:ascii="Garamond" w:hAnsi="Garamond"/>
          <w:sz w:val="24"/>
          <w:szCs w:val="24"/>
        </w:rPr>
        <w:fldChar w:fldCharType="end"/>
      </w:r>
      <w:r w:rsidR="0058599B" w:rsidRPr="00111DDB">
        <w:rPr>
          <w:rFonts w:ascii="Garamond" w:hAnsi="Garamond"/>
          <w:sz w:val="24"/>
          <w:szCs w:val="24"/>
        </w:rPr>
        <w:t xml:space="preserve"> Yes. Please justify</w:t>
      </w:r>
      <w:r w:rsidR="00AA6D5E" w:rsidRPr="00111DDB">
        <w:rPr>
          <w:rFonts w:ascii="Garamond" w:hAnsi="Garamond"/>
          <w:sz w:val="24"/>
          <w:szCs w:val="24"/>
        </w:rPr>
        <w:t>.</w:t>
      </w:r>
      <w:r w:rsidR="0058599B" w:rsidRPr="00111DDB">
        <w:rPr>
          <w:rFonts w:ascii="Garamond" w:hAnsi="Garamond"/>
          <w:sz w:val="24"/>
          <w:szCs w:val="24"/>
        </w:rPr>
        <w:t xml:space="preserve"> </w:t>
      </w:r>
    </w:p>
    <w:p w14:paraId="7A1DEAC8" w14:textId="77777777" w:rsidR="00201847" w:rsidRPr="00111DDB" w:rsidRDefault="00201847" w:rsidP="00111DDB">
      <w:pPr>
        <w:spacing w:before="120" w:after="120"/>
        <w:ind w:left="720"/>
        <w:jc w:val="both"/>
        <w:rPr>
          <w:rFonts w:ascii="Garamond" w:hAnsi="Garamond"/>
          <w:sz w:val="24"/>
          <w:szCs w:val="24"/>
        </w:rPr>
      </w:pPr>
      <w:r w:rsidRPr="00111DDB">
        <w:rPr>
          <w:rFonts w:ascii="Garamond" w:hAnsi="Garamond"/>
          <w:sz w:val="24"/>
          <w:szCs w:val="24"/>
        </w:rPr>
        <w:fldChar w:fldCharType="begin">
          <w:ffData>
            <w:name w:val="Text1"/>
            <w:enabled/>
            <w:calcOnExit w:val="0"/>
            <w:textInput/>
          </w:ffData>
        </w:fldChar>
      </w:r>
      <w:r w:rsidRPr="00111DDB">
        <w:rPr>
          <w:rFonts w:ascii="Garamond" w:hAnsi="Garamond"/>
          <w:sz w:val="24"/>
          <w:szCs w:val="24"/>
        </w:rPr>
        <w:instrText xml:space="preserve"> FORMTEXT </w:instrText>
      </w:r>
      <w:r w:rsidRPr="00111DDB">
        <w:rPr>
          <w:rFonts w:ascii="Garamond" w:hAnsi="Garamond"/>
          <w:sz w:val="24"/>
          <w:szCs w:val="24"/>
        </w:rPr>
      </w:r>
      <w:r w:rsidRPr="00111DDB">
        <w:rPr>
          <w:rFonts w:ascii="Garamond" w:hAnsi="Garamond"/>
          <w:sz w:val="24"/>
          <w:szCs w:val="24"/>
        </w:rPr>
        <w:fldChar w:fldCharType="separate"/>
      </w:r>
      <w:r w:rsidRPr="00111DDB">
        <w:rPr>
          <w:rFonts w:ascii="Garamond" w:hAnsi="Garamond"/>
          <w:sz w:val="24"/>
          <w:szCs w:val="24"/>
        </w:rPr>
        <w:t> </w:t>
      </w:r>
      <w:r w:rsidRPr="00111DDB">
        <w:rPr>
          <w:rFonts w:ascii="Garamond" w:hAnsi="Garamond"/>
          <w:sz w:val="24"/>
          <w:szCs w:val="24"/>
        </w:rPr>
        <w:t> </w:t>
      </w:r>
      <w:r w:rsidRPr="00111DDB">
        <w:rPr>
          <w:rFonts w:ascii="Garamond" w:hAnsi="Garamond"/>
          <w:sz w:val="24"/>
          <w:szCs w:val="24"/>
        </w:rPr>
        <w:t> </w:t>
      </w:r>
      <w:r w:rsidRPr="00111DDB">
        <w:rPr>
          <w:rFonts w:ascii="Garamond" w:hAnsi="Garamond"/>
          <w:sz w:val="24"/>
          <w:szCs w:val="24"/>
        </w:rPr>
        <w:t> </w:t>
      </w:r>
      <w:r w:rsidRPr="00111DDB">
        <w:rPr>
          <w:rFonts w:ascii="Garamond" w:hAnsi="Garamond"/>
          <w:sz w:val="24"/>
          <w:szCs w:val="24"/>
        </w:rPr>
        <w:t> </w:t>
      </w:r>
      <w:r w:rsidRPr="00111DDB">
        <w:rPr>
          <w:rFonts w:ascii="Garamond" w:hAnsi="Garamond"/>
          <w:sz w:val="24"/>
          <w:szCs w:val="24"/>
        </w:rPr>
        <w:fldChar w:fldCharType="end"/>
      </w:r>
    </w:p>
    <w:p w14:paraId="68C4E653" w14:textId="77777777" w:rsidR="0058599B" w:rsidRPr="00111DDB" w:rsidRDefault="00201847" w:rsidP="00111DDB">
      <w:pPr>
        <w:spacing w:before="120" w:after="120"/>
        <w:ind w:left="720"/>
        <w:jc w:val="both"/>
        <w:rPr>
          <w:rFonts w:ascii="Garamond" w:hAnsi="Garamond"/>
          <w:sz w:val="24"/>
          <w:szCs w:val="24"/>
        </w:rPr>
      </w:pPr>
      <w:r w:rsidRPr="00111DDB">
        <w:rPr>
          <w:rFonts w:ascii="Garamond" w:hAnsi="Garamond"/>
          <w:sz w:val="24"/>
          <w:szCs w:val="24"/>
        </w:rPr>
        <w:fldChar w:fldCharType="begin">
          <w:ffData>
            <w:name w:val="Check1"/>
            <w:enabled/>
            <w:calcOnExit w:val="0"/>
            <w:checkBox>
              <w:sizeAuto/>
              <w:default w:val="0"/>
            </w:checkBox>
          </w:ffData>
        </w:fldChar>
      </w:r>
      <w:r w:rsidRPr="00111DDB">
        <w:rPr>
          <w:rFonts w:ascii="Garamond" w:hAnsi="Garamond"/>
          <w:sz w:val="24"/>
          <w:szCs w:val="24"/>
        </w:rPr>
        <w:instrText xml:space="preserve"> FORMCHECKBOX </w:instrText>
      </w:r>
      <w:r w:rsidRPr="00111DDB">
        <w:rPr>
          <w:rFonts w:ascii="Garamond" w:hAnsi="Garamond"/>
          <w:sz w:val="24"/>
          <w:szCs w:val="24"/>
        </w:rPr>
      </w:r>
      <w:r w:rsidRPr="00111DDB">
        <w:rPr>
          <w:rFonts w:ascii="Garamond" w:hAnsi="Garamond"/>
          <w:sz w:val="24"/>
          <w:szCs w:val="24"/>
        </w:rPr>
        <w:fldChar w:fldCharType="end"/>
      </w:r>
      <w:r w:rsidR="0058599B" w:rsidRPr="00111DDB">
        <w:rPr>
          <w:rFonts w:ascii="Garamond" w:hAnsi="Garamond"/>
          <w:sz w:val="24"/>
          <w:szCs w:val="24"/>
        </w:rPr>
        <w:t xml:space="preserve"> No. Please justify</w:t>
      </w:r>
      <w:r w:rsidR="00AA6D5E" w:rsidRPr="00111DDB">
        <w:rPr>
          <w:rFonts w:ascii="Garamond" w:hAnsi="Garamond"/>
          <w:sz w:val="24"/>
          <w:szCs w:val="24"/>
        </w:rPr>
        <w:t>.</w:t>
      </w:r>
    </w:p>
    <w:p w14:paraId="64C4FF1A" w14:textId="77777777" w:rsidR="00201847" w:rsidRPr="00111DDB" w:rsidRDefault="00201847" w:rsidP="00111DDB">
      <w:pPr>
        <w:spacing w:before="120" w:after="120"/>
        <w:ind w:left="720"/>
        <w:jc w:val="both"/>
        <w:rPr>
          <w:rFonts w:ascii="Garamond" w:hAnsi="Garamond"/>
          <w:sz w:val="24"/>
          <w:szCs w:val="24"/>
        </w:rPr>
      </w:pPr>
      <w:r w:rsidRPr="00111DDB">
        <w:rPr>
          <w:rFonts w:ascii="Garamond" w:hAnsi="Garamond"/>
          <w:sz w:val="24"/>
          <w:szCs w:val="24"/>
        </w:rPr>
        <w:fldChar w:fldCharType="begin">
          <w:ffData>
            <w:name w:val="Text1"/>
            <w:enabled/>
            <w:calcOnExit w:val="0"/>
            <w:textInput/>
          </w:ffData>
        </w:fldChar>
      </w:r>
      <w:r w:rsidRPr="00111DDB">
        <w:rPr>
          <w:rFonts w:ascii="Garamond" w:hAnsi="Garamond"/>
          <w:sz w:val="24"/>
          <w:szCs w:val="24"/>
        </w:rPr>
        <w:instrText xml:space="preserve"> FORMTEXT </w:instrText>
      </w:r>
      <w:r w:rsidRPr="00111DDB">
        <w:rPr>
          <w:rFonts w:ascii="Garamond" w:hAnsi="Garamond"/>
          <w:sz w:val="24"/>
          <w:szCs w:val="24"/>
        </w:rPr>
      </w:r>
      <w:r w:rsidRPr="00111DDB">
        <w:rPr>
          <w:rFonts w:ascii="Garamond" w:hAnsi="Garamond"/>
          <w:sz w:val="24"/>
          <w:szCs w:val="24"/>
        </w:rPr>
        <w:fldChar w:fldCharType="separate"/>
      </w:r>
      <w:r w:rsidRPr="00111DDB">
        <w:rPr>
          <w:rFonts w:ascii="Garamond" w:hAnsi="Garamond"/>
          <w:sz w:val="24"/>
          <w:szCs w:val="24"/>
        </w:rPr>
        <w:t> </w:t>
      </w:r>
      <w:r w:rsidRPr="00111DDB">
        <w:rPr>
          <w:rFonts w:ascii="Garamond" w:hAnsi="Garamond"/>
          <w:sz w:val="24"/>
          <w:szCs w:val="24"/>
        </w:rPr>
        <w:t> </w:t>
      </w:r>
      <w:r w:rsidRPr="00111DDB">
        <w:rPr>
          <w:rFonts w:ascii="Garamond" w:hAnsi="Garamond"/>
          <w:sz w:val="24"/>
          <w:szCs w:val="24"/>
        </w:rPr>
        <w:t> </w:t>
      </w:r>
      <w:r w:rsidRPr="00111DDB">
        <w:rPr>
          <w:rFonts w:ascii="Garamond" w:hAnsi="Garamond"/>
          <w:sz w:val="24"/>
          <w:szCs w:val="24"/>
        </w:rPr>
        <w:t> </w:t>
      </w:r>
      <w:r w:rsidRPr="00111DDB">
        <w:rPr>
          <w:rFonts w:ascii="Garamond" w:hAnsi="Garamond"/>
          <w:sz w:val="24"/>
          <w:szCs w:val="24"/>
        </w:rPr>
        <w:t> </w:t>
      </w:r>
      <w:r w:rsidRPr="00111DDB">
        <w:rPr>
          <w:rFonts w:ascii="Garamond" w:hAnsi="Garamond"/>
          <w:sz w:val="24"/>
          <w:szCs w:val="24"/>
        </w:rPr>
        <w:fldChar w:fldCharType="end"/>
      </w:r>
    </w:p>
    <w:p w14:paraId="747B796F" w14:textId="77777777" w:rsidR="007907C6" w:rsidRPr="00AA6D5E" w:rsidRDefault="007907C6" w:rsidP="007837FC">
      <w:pPr>
        <w:spacing w:before="120" w:after="120"/>
        <w:ind w:left="851"/>
        <w:rPr>
          <w:rFonts w:ascii="Garamond" w:hAnsi="Garamond"/>
          <w:sz w:val="24"/>
          <w:szCs w:val="24"/>
        </w:rPr>
      </w:pPr>
    </w:p>
    <w:p w14:paraId="3FEE943B" w14:textId="77777777" w:rsidR="001B435B" w:rsidRPr="00B07777" w:rsidRDefault="001B435B" w:rsidP="000D1B0F">
      <w:pPr>
        <w:pStyle w:val="Listenabsatz"/>
        <w:numPr>
          <w:ilvl w:val="0"/>
          <w:numId w:val="40"/>
        </w:numPr>
        <w:spacing w:before="120" w:after="120"/>
        <w:rPr>
          <w:b/>
          <w:sz w:val="24"/>
          <w:szCs w:val="24"/>
          <w:lang w:val="en-US"/>
        </w:rPr>
      </w:pPr>
      <w:r w:rsidRPr="00AA6D5E">
        <w:rPr>
          <w:b/>
          <w:sz w:val="24"/>
          <w:szCs w:val="24"/>
          <w:lang w:val="en-US"/>
        </w:rPr>
        <w:t>Does the exemption from the presumption in favour of the place of the registered office included in Article 3 EIR-R, in your view, raise practical problems with regard to insolvencies of groups of compani</w:t>
      </w:r>
      <w:r w:rsidRPr="00B07777">
        <w:rPr>
          <w:b/>
          <w:sz w:val="24"/>
          <w:szCs w:val="24"/>
          <w:lang w:val="en-US"/>
        </w:rPr>
        <w:t>es?</w:t>
      </w:r>
    </w:p>
    <w:p w14:paraId="3EB96D7B" w14:textId="77777777" w:rsidR="001B435B" w:rsidRPr="00111DDB" w:rsidRDefault="007907C6" w:rsidP="00111DDB">
      <w:pPr>
        <w:spacing w:before="120" w:after="120"/>
        <w:ind w:left="720"/>
        <w:jc w:val="both"/>
        <w:rPr>
          <w:rFonts w:ascii="Garamond" w:hAnsi="Garamond"/>
          <w:sz w:val="24"/>
          <w:szCs w:val="24"/>
        </w:rPr>
      </w:pPr>
      <w:r w:rsidRPr="00111DDB">
        <w:rPr>
          <w:rFonts w:ascii="Garamond" w:hAnsi="Garamond"/>
          <w:sz w:val="24"/>
          <w:szCs w:val="24"/>
        </w:rPr>
        <w:fldChar w:fldCharType="begin">
          <w:ffData>
            <w:name w:val="Check1"/>
            <w:enabled/>
            <w:calcOnExit w:val="0"/>
            <w:checkBox>
              <w:sizeAuto/>
              <w:default w:val="0"/>
            </w:checkBox>
          </w:ffData>
        </w:fldChar>
      </w:r>
      <w:r w:rsidRPr="00111DDB">
        <w:rPr>
          <w:rFonts w:ascii="Garamond" w:hAnsi="Garamond"/>
          <w:sz w:val="24"/>
          <w:szCs w:val="24"/>
        </w:rPr>
        <w:instrText xml:space="preserve"> FORMCHECKBOX </w:instrText>
      </w:r>
      <w:r w:rsidRPr="00111DDB">
        <w:rPr>
          <w:rFonts w:ascii="Garamond" w:hAnsi="Garamond"/>
          <w:sz w:val="24"/>
          <w:szCs w:val="24"/>
        </w:rPr>
      </w:r>
      <w:r w:rsidRPr="00111DDB">
        <w:rPr>
          <w:rFonts w:ascii="Garamond" w:hAnsi="Garamond"/>
          <w:sz w:val="24"/>
          <w:szCs w:val="24"/>
        </w:rPr>
        <w:fldChar w:fldCharType="end"/>
      </w:r>
      <w:r w:rsidR="001B435B" w:rsidRPr="00111DDB">
        <w:rPr>
          <w:rFonts w:ascii="Garamond" w:hAnsi="Garamond"/>
          <w:sz w:val="24"/>
          <w:szCs w:val="24"/>
        </w:rPr>
        <w:t xml:space="preserve"> Yes. Please justify</w:t>
      </w:r>
      <w:r w:rsidR="00AA6D5E" w:rsidRPr="00111DDB">
        <w:rPr>
          <w:rFonts w:ascii="Garamond" w:hAnsi="Garamond"/>
          <w:sz w:val="24"/>
          <w:szCs w:val="24"/>
        </w:rPr>
        <w:t>.</w:t>
      </w:r>
      <w:r w:rsidR="001B435B" w:rsidRPr="00111DDB">
        <w:rPr>
          <w:rFonts w:ascii="Garamond" w:hAnsi="Garamond"/>
          <w:sz w:val="24"/>
          <w:szCs w:val="24"/>
        </w:rPr>
        <w:t xml:space="preserve"> </w:t>
      </w:r>
    </w:p>
    <w:p w14:paraId="6AA9DD8D" w14:textId="77777777" w:rsidR="007907C6" w:rsidRPr="00111DDB" w:rsidRDefault="007907C6" w:rsidP="00111DDB">
      <w:pPr>
        <w:spacing w:before="120" w:after="120"/>
        <w:ind w:left="720"/>
        <w:jc w:val="both"/>
        <w:rPr>
          <w:rFonts w:ascii="Garamond" w:hAnsi="Garamond"/>
          <w:sz w:val="24"/>
          <w:szCs w:val="24"/>
        </w:rPr>
      </w:pPr>
      <w:r w:rsidRPr="00111DDB">
        <w:rPr>
          <w:rFonts w:ascii="Garamond" w:hAnsi="Garamond"/>
          <w:sz w:val="24"/>
          <w:szCs w:val="24"/>
        </w:rPr>
        <w:fldChar w:fldCharType="begin">
          <w:ffData>
            <w:name w:val="Text1"/>
            <w:enabled/>
            <w:calcOnExit w:val="0"/>
            <w:textInput/>
          </w:ffData>
        </w:fldChar>
      </w:r>
      <w:r w:rsidRPr="00111DDB">
        <w:rPr>
          <w:rFonts w:ascii="Garamond" w:hAnsi="Garamond"/>
          <w:sz w:val="24"/>
          <w:szCs w:val="24"/>
        </w:rPr>
        <w:instrText xml:space="preserve"> FORMTEXT </w:instrText>
      </w:r>
      <w:r w:rsidRPr="00111DDB">
        <w:rPr>
          <w:rFonts w:ascii="Garamond" w:hAnsi="Garamond"/>
          <w:sz w:val="24"/>
          <w:szCs w:val="24"/>
        </w:rPr>
      </w:r>
      <w:r w:rsidRPr="00111DDB">
        <w:rPr>
          <w:rFonts w:ascii="Garamond" w:hAnsi="Garamond"/>
          <w:sz w:val="24"/>
          <w:szCs w:val="24"/>
        </w:rPr>
        <w:fldChar w:fldCharType="separate"/>
      </w:r>
      <w:r w:rsidRPr="00111DDB">
        <w:rPr>
          <w:rFonts w:ascii="Garamond" w:hAnsi="Garamond"/>
          <w:sz w:val="24"/>
          <w:szCs w:val="24"/>
        </w:rPr>
        <w:t> </w:t>
      </w:r>
      <w:r w:rsidRPr="00111DDB">
        <w:rPr>
          <w:rFonts w:ascii="Garamond" w:hAnsi="Garamond"/>
          <w:sz w:val="24"/>
          <w:szCs w:val="24"/>
        </w:rPr>
        <w:t> </w:t>
      </w:r>
      <w:r w:rsidRPr="00111DDB">
        <w:rPr>
          <w:rFonts w:ascii="Garamond" w:hAnsi="Garamond"/>
          <w:sz w:val="24"/>
          <w:szCs w:val="24"/>
        </w:rPr>
        <w:t> </w:t>
      </w:r>
      <w:r w:rsidRPr="00111DDB">
        <w:rPr>
          <w:rFonts w:ascii="Garamond" w:hAnsi="Garamond"/>
          <w:sz w:val="24"/>
          <w:szCs w:val="24"/>
        </w:rPr>
        <w:t> </w:t>
      </w:r>
      <w:r w:rsidRPr="00111DDB">
        <w:rPr>
          <w:rFonts w:ascii="Garamond" w:hAnsi="Garamond"/>
          <w:sz w:val="24"/>
          <w:szCs w:val="24"/>
        </w:rPr>
        <w:t> </w:t>
      </w:r>
      <w:r w:rsidRPr="00111DDB">
        <w:rPr>
          <w:rFonts w:ascii="Garamond" w:hAnsi="Garamond"/>
          <w:sz w:val="24"/>
          <w:szCs w:val="24"/>
        </w:rPr>
        <w:fldChar w:fldCharType="end"/>
      </w:r>
    </w:p>
    <w:p w14:paraId="11A54A35" w14:textId="77777777" w:rsidR="001B435B" w:rsidRPr="00111DDB" w:rsidRDefault="007907C6" w:rsidP="00111DDB">
      <w:pPr>
        <w:spacing w:before="120" w:after="120"/>
        <w:ind w:left="720"/>
        <w:jc w:val="both"/>
        <w:rPr>
          <w:rFonts w:ascii="Garamond" w:hAnsi="Garamond"/>
          <w:sz w:val="24"/>
          <w:szCs w:val="24"/>
        </w:rPr>
      </w:pPr>
      <w:r w:rsidRPr="00111DDB">
        <w:rPr>
          <w:rFonts w:ascii="Garamond" w:hAnsi="Garamond"/>
          <w:sz w:val="24"/>
          <w:szCs w:val="24"/>
        </w:rPr>
        <w:fldChar w:fldCharType="begin">
          <w:ffData>
            <w:name w:val="Check1"/>
            <w:enabled/>
            <w:calcOnExit w:val="0"/>
            <w:checkBox>
              <w:sizeAuto/>
              <w:default w:val="0"/>
            </w:checkBox>
          </w:ffData>
        </w:fldChar>
      </w:r>
      <w:r w:rsidRPr="00111DDB">
        <w:rPr>
          <w:rFonts w:ascii="Garamond" w:hAnsi="Garamond"/>
          <w:sz w:val="24"/>
          <w:szCs w:val="24"/>
        </w:rPr>
        <w:instrText xml:space="preserve"> FORMCHECKBOX </w:instrText>
      </w:r>
      <w:r w:rsidRPr="00111DDB">
        <w:rPr>
          <w:rFonts w:ascii="Garamond" w:hAnsi="Garamond"/>
          <w:sz w:val="24"/>
          <w:szCs w:val="24"/>
        </w:rPr>
      </w:r>
      <w:r w:rsidRPr="00111DDB">
        <w:rPr>
          <w:rFonts w:ascii="Garamond" w:hAnsi="Garamond"/>
          <w:sz w:val="24"/>
          <w:szCs w:val="24"/>
        </w:rPr>
        <w:fldChar w:fldCharType="end"/>
      </w:r>
      <w:r w:rsidR="001B435B" w:rsidRPr="00111DDB">
        <w:rPr>
          <w:rFonts w:ascii="Garamond" w:hAnsi="Garamond"/>
          <w:sz w:val="24"/>
          <w:szCs w:val="24"/>
        </w:rPr>
        <w:t xml:space="preserve"> No. Please justify.</w:t>
      </w:r>
    </w:p>
    <w:p w14:paraId="0D1CA0E2" w14:textId="77777777" w:rsidR="00E845A6" w:rsidRDefault="007907C6" w:rsidP="00111DDB">
      <w:pPr>
        <w:spacing w:before="120" w:after="120"/>
        <w:ind w:left="720"/>
        <w:jc w:val="both"/>
        <w:rPr>
          <w:rFonts w:ascii="Garamond" w:hAnsi="Garamond"/>
          <w:sz w:val="24"/>
          <w:szCs w:val="24"/>
        </w:rPr>
      </w:pPr>
      <w:r w:rsidRPr="00111DDB">
        <w:rPr>
          <w:rFonts w:ascii="Garamond" w:hAnsi="Garamond"/>
          <w:sz w:val="24"/>
          <w:szCs w:val="24"/>
        </w:rPr>
        <w:fldChar w:fldCharType="begin">
          <w:ffData>
            <w:name w:val="Text1"/>
            <w:enabled/>
            <w:calcOnExit w:val="0"/>
            <w:textInput/>
          </w:ffData>
        </w:fldChar>
      </w:r>
      <w:r w:rsidRPr="00111DDB">
        <w:rPr>
          <w:rFonts w:ascii="Garamond" w:hAnsi="Garamond"/>
          <w:sz w:val="24"/>
          <w:szCs w:val="24"/>
        </w:rPr>
        <w:instrText xml:space="preserve"> FORMTEXT </w:instrText>
      </w:r>
      <w:r w:rsidRPr="00111DDB">
        <w:rPr>
          <w:rFonts w:ascii="Garamond" w:hAnsi="Garamond"/>
          <w:sz w:val="24"/>
          <w:szCs w:val="24"/>
        </w:rPr>
      </w:r>
      <w:r w:rsidRPr="00111DDB">
        <w:rPr>
          <w:rFonts w:ascii="Garamond" w:hAnsi="Garamond"/>
          <w:sz w:val="24"/>
          <w:szCs w:val="24"/>
        </w:rPr>
        <w:fldChar w:fldCharType="separate"/>
      </w:r>
      <w:r w:rsidRPr="00111DDB">
        <w:rPr>
          <w:rFonts w:ascii="Garamond" w:hAnsi="Garamond"/>
          <w:sz w:val="24"/>
          <w:szCs w:val="24"/>
        </w:rPr>
        <w:t> </w:t>
      </w:r>
      <w:r w:rsidRPr="00111DDB">
        <w:rPr>
          <w:rFonts w:ascii="Garamond" w:hAnsi="Garamond"/>
          <w:sz w:val="24"/>
          <w:szCs w:val="24"/>
        </w:rPr>
        <w:t> </w:t>
      </w:r>
      <w:r w:rsidRPr="00111DDB">
        <w:rPr>
          <w:rFonts w:ascii="Garamond" w:hAnsi="Garamond"/>
          <w:sz w:val="24"/>
          <w:szCs w:val="24"/>
        </w:rPr>
        <w:t> </w:t>
      </w:r>
      <w:r w:rsidRPr="00111DDB">
        <w:rPr>
          <w:rFonts w:ascii="Garamond" w:hAnsi="Garamond"/>
          <w:sz w:val="24"/>
          <w:szCs w:val="24"/>
        </w:rPr>
        <w:t> </w:t>
      </w:r>
      <w:r w:rsidRPr="00111DDB">
        <w:rPr>
          <w:rFonts w:ascii="Garamond" w:hAnsi="Garamond"/>
          <w:sz w:val="24"/>
          <w:szCs w:val="24"/>
        </w:rPr>
        <w:t> </w:t>
      </w:r>
      <w:r w:rsidRPr="00111DDB">
        <w:rPr>
          <w:rFonts w:ascii="Garamond" w:hAnsi="Garamond"/>
          <w:sz w:val="24"/>
          <w:szCs w:val="24"/>
        </w:rPr>
        <w:fldChar w:fldCharType="end"/>
      </w:r>
    </w:p>
    <w:p w14:paraId="1E54B879" w14:textId="77777777" w:rsidR="00111DDB" w:rsidRPr="00111DDB" w:rsidRDefault="00111DDB" w:rsidP="00111DDB">
      <w:pPr>
        <w:spacing w:before="120" w:after="120"/>
        <w:ind w:left="720"/>
        <w:jc w:val="both"/>
        <w:rPr>
          <w:rFonts w:ascii="Garamond" w:hAnsi="Garamond"/>
          <w:sz w:val="24"/>
          <w:szCs w:val="24"/>
        </w:rPr>
      </w:pPr>
    </w:p>
    <w:p w14:paraId="3335C08A" w14:textId="77777777" w:rsidR="00FD4B89" w:rsidRPr="00137AA0" w:rsidRDefault="00703AC0" w:rsidP="00CD7CD8">
      <w:pPr>
        <w:pStyle w:val="berschrift2"/>
      </w:pPr>
      <w:bookmarkStart w:id="15" w:name="_Toc415476079"/>
      <w:r w:rsidRPr="00137AA0">
        <w:lastRenderedPageBreak/>
        <w:t xml:space="preserve">B. </w:t>
      </w:r>
      <w:r w:rsidR="001B435B" w:rsidRPr="00137AA0">
        <w:t>Coordination between Insolvency Proceedings Relating to Group Members</w:t>
      </w:r>
      <w:bookmarkStart w:id="16" w:name="_Toc415476080"/>
      <w:bookmarkEnd w:id="15"/>
    </w:p>
    <w:p w14:paraId="30284C05" w14:textId="77777777" w:rsidR="001B435B" w:rsidRPr="00FD4B89" w:rsidRDefault="00FD4B89" w:rsidP="00CD7CD8">
      <w:pPr>
        <w:pStyle w:val="berschrift3"/>
      </w:pPr>
      <w:r w:rsidRPr="00FD4B89">
        <w:t xml:space="preserve">I. </w:t>
      </w:r>
      <w:r w:rsidR="001B435B" w:rsidRPr="00FD4B89">
        <w:t>Reform</w:t>
      </w:r>
      <w:bookmarkEnd w:id="16"/>
      <w:r w:rsidR="001B435B" w:rsidRPr="00FD4B89">
        <w:t xml:space="preserve"> </w:t>
      </w:r>
    </w:p>
    <w:p w14:paraId="14F92626" w14:textId="77777777" w:rsidR="00FD4B89" w:rsidRDefault="001B435B" w:rsidP="00FD4B89">
      <w:pPr>
        <w:spacing w:before="120" w:after="120"/>
        <w:jc w:val="both"/>
        <w:rPr>
          <w:rFonts w:ascii="Garamond" w:hAnsi="Garamond"/>
          <w:sz w:val="24"/>
          <w:szCs w:val="24"/>
          <w:lang w:val="en-GB"/>
        </w:rPr>
      </w:pPr>
      <w:r w:rsidRPr="00016E69">
        <w:rPr>
          <w:rFonts w:ascii="Garamond" w:hAnsi="Garamond"/>
          <w:i/>
          <w:sz w:val="24"/>
          <w:szCs w:val="24"/>
          <w:lang w:val="en-GB"/>
        </w:rPr>
        <w:t>Coordination between Main Insolvency Proceedings Opened against Two or More Group Members.</w:t>
      </w:r>
      <w:r w:rsidRPr="00016E69">
        <w:rPr>
          <w:rFonts w:ascii="Garamond" w:hAnsi="Garamond"/>
          <w:sz w:val="24"/>
          <w:szCs w:val="24"/>
          <w:lang w:val="en-GB"/>
        </w:rPr>
        <w:t xml:space="preserve"> The coordination between these proceedings is, on the one hand, governed by the Section 1 of the newly introduced Chapter V on Insolvency Proceedings of Members of a Group of Companies (Articles 56 et seq.), and, on the other hand, by the new group coordination proceedings. Apart from the provisions on communication and cooperation and the usage of agreements and protocols as coordination tools, the rules dealing with the powers of the insolvency practitioner in proceedings concerning (other) group members need to be mentioned here. The European legislator decided against establishing a hierarchy between insolvency proceedings opened against members of a group of companies similar to the relation between main and secondary proceedings. </w:t>
      </w:r>
      <w:r w:rsidRPr="00AA6D5E">
        <w:rPr>
          <w:rFonts w:ascii="Garamond" w:hAnsi="Garamond"/>
          <w:sz w:val="24"/>
          <w:szCs w:val="24"/>
          <w:lang w:val="en-GB"/>
        </w:rPr>
        <w:t>In this regard and outside the scope of group coordination proceedings, the reform rather follows a “</w:t>
      </w:r>
      <w:r w:rsidRPr="00F13D4B">
        <w:rPr>
          <w:rFonts w:ascii="Garamond" w:hAnsi="Garamond"/>
          <w:sz w:val="24"/>
          <w:szCs w:val="24"/>
          <w:lang w:val="en-GB"/>
        </w:rPr>
        <w:t>market economy oriented approach</w:t>
      </w:r>
      <w:r w:rsidRPr="00AA6D5E">
        <w:rPr>
          <w:rFonts w:ascii="Garamond" w:hAnsi="Garamond"/>
          <w:sz w:val="24"/>
          <w:szCs w:val="24"/>
          <w:lang w:val="en-GB"/>
        </w:rPr>
        <w:t>” according to which all relevant insolvency practitioners should, in principle, have the right to be heard and to request a stay of any measure</w:t>
      </w:r>
      <w:r w:rsidRPr="00B07777">
        <w:rPr>
          <w:rFonts w:ascii="Garamond" w:hAnsi="Garamond"/>
          <w:sz w:val="24"/>
          <w:szCs w:val="24"/>
          <w:lang w:val="en-GB"/>
        </w:rPr>
        <w:t xml:space="preserve"> related to the realisation of assets </w:t>
      </w:r>
      <w:r w:rsidRPr="00F13D4B">
        <w:rPr>
          <w:rFonts w:ascii="Garamond" w:hAnsi="Garamond"/>
          <w:sz w:val="24"/>
          <w:szCs w:val="24"/>
          <w:lang w:val="en-GB"/>
        </w:rPr>
        <w:t>in (all) proceedings concerning other group members (cf. Article 60(1) EIR-R). The insolvency practitioner may, however, only exercise his/her powers “to the extent appropriate to facilitate the effective administration of the proceedings</w:t>
      </w:r>
      <w:r w:rsidRPr="00AA6D5E">
        <w:rPr>
          <w:rFonts w:ascii="Garamond" w:hAnsi="Garamond"/>
          <w:sz w:val="24"/>
          <w:szCs w:val="24"/>
          <w:lang w:val="en-GB"/>
        </w:rPr>
        <w:t>”. On top of that, the insolvency practitioner’s right to request a stay is subject to (no less than) four conditions, most notably the existence of a coordinated restructuring plan (according to Article 56(2) lit. c EIR-R) that present</w:t>
      </w:r>
      <w:r w:rsidRPr="00B07777">
        <w:rPr>
          <w:rFonts w:ascii="Garamond" w:hAnsi="Garamond"/>
          <w:sz w:val="24"/>
          <w:szCs w:val="24"/>
          <w:lang w:val="en-GB"/>
        </w:rPr>
        <w:t>s a “</w:t>
      </w:r>
      <w:r w:rsidRPr="00F13D4B">
        <w:rPr>
          <w:rFonts w:ascii="Garamond" w:hAnsi="Garamond"/>
          <w:sz w:val="24"/>
          <w:szCs w:val="24"/>
          <w:lang w:val="en-GB"/>
        </w:rPr>
        <w:t>reasonable chance of success</w:t>
      </w:r>
      <w:r w:rsidRPr="00AA6D5E">
        <w:rPr>
          <w:rFonts w:ascii="Garamond" w:hAnsi="Garamond"/>
          <w:sz w:val="24"/>
          <w:szCs w:val="24"/>
          <w:lang w:val="en-GB"/>
        </w:rPr>
        <w:t xml:space="preserve">” (Article 60(1) lit. b (i) EIR-R) and the requirement that the insolvency proceedings which should be stayed are not subject to group coordination proceedings. </w:t>
      </w:r>
      <w:bookmarkStart w:id="17" w:name="_Toc415476082"/>
    </w:p>
    <w:p w14:paraId="35393A79" w14:textId="77777777" w:rsidR="00FD4B89" w:rsidRDefault="00FD4B89" w:rsidP="00FD4B89">
      <w:pPr>
        <w:spacing w:before="120" w:after="120"/>
        <w:jc w:val="both"/>
        <w:rPr>
          <w:rFonts w:ascii="Garamond" w:hAnsi="Garamond"/>
          <w:sz w:val="24"/>
          <w:szCs w:val="24"/>
          <w:lang w:val="en-GB"/>
        </w:rPr>
      </w:pPr>
    </w:p>
    <w:p w14:paraId="6F851669" w14:textId="77777777" w:rsidR="001B435B" w:rsidRPr="00137AA0" w:rsidRDefault="00FD4B89" w:rsidP="00CD7CD8">
      <w:pPr>
        <w:pStyle w:val="berschrift3"/>
      </w:pPr>
      <w:r w:rsidRPr="00137AA0">
        <w:t xml:space="preserve">II. </w:t>
      </w:r>
      <w:r w:rsidR="001B435B" w:rsidRPr="00137AA0">
        <w:t>Question</w:t>
      </w:r>
      <w:bookmarkEnd w:id="17"/>
    </w:p>
    <w:p w14:paraId="5FB9ADE8" w14:textId="77777777" w:rsidR="001B435B" w:rsidRPr="00F13D4B" w:rsidRDefault="001B435B" w:rsidP="007837FC">
      <w:pPr>
        <w:spacing w:before="120" w:after="120"/>
        <w:jc w:val="both"/>
        <w:rPr>
          <w:rFonts w:ascii="Garamond" w:hAnsi="Garamond"/>
          <w:sz w:val="24"/>
          <w:szCs w:val="24"/>
        </w:rPr>
      </w:pPr>
      <w:r w:rsidRPr="00F13D4B">
        <w:rPr>
          <w:rFonts w:ascii="Garamond" w:hAnsi="Garamond"/>
          <w:sz w:val="24"/>
          <w:szCs w:val="24"/>
        </w:rPr>
        <w:t>In the light of the foregoing:</w:t>
      </w:r>
    </w:p>
    <w:p w14:paraId="71518F8B" w14:textId="77777777" w:rsidR="00134105" w:rsidRDefault="001B435B" w:rsidP="00134105">
      <w:pPr>
        <w:pStyle w:val="Listenabsatz"/>
        <w:numPr>
          <w:ilvl w:val="0"/>
          <w:numId w:val="40"/>
        </w:numPr>
        <w:spacing w:before="120" w:after="120"/>
        <w:rPr>
          <w:b/>
          <w:sz w:val="24"/>
          <w:szCs w:val="24"/>
          <w:lang w:val="en-US"/>
        </w:rPr>
      </w:pPr>
      <w:r w:rsidRPr="00E311CD">
        <w:rPr>
          <w:b/>
          <w:sz w:val="24"/>
          <w:szCs w:val="24"/>
          <w:lang w:val="en-US"/>
        </w:rPr>
        <w:t xml:space="preserve">Does the implementation of Section 1 of the newly introduced Chapter V, in particular </w:t>
      </w:r>
      <w:r w:rsidR="00134358" w:rsidRPr="00E311CD">
        <w:rPr>
          <w:b/>
          <w:sz w:val="24"/>
          <w:szCs w:val="24"/>
          <w:lang w:val="en-US"/>
        </w:rPr>
        <w:t xml:space="preserve">the powers of the insolvency practitioner in proceedings concerning members of a group of companies under </w:t>
      </w:r>
      <w:r w:rsidRPr="00E311CD">
        <w:rPr>
          <w:b/>
          <w:sz w:val="24"/>
          <w:szCs w:val="24"/>
          <w:lang w:val="en-US"/>
        </w:rPr>
        <w:t xml:space="preserve">Article 60 EIR-R, in your view, have an impact in practice on the coordination of insolvency proceedings related to group members and, if so, in what respect? </w:t>
      </w:r>
    </w:p>
    <w:p w14:paraId="60FCC7C6" w14:textId="77777777" w:rsidR="00E845A6" w:rsidRPr="00806FF5" w:rsidRDefault="004C10A8" w:rsidP="00806FF5">
      <w:pPr>
        <w:pStyle w:val="Listenabsatz"/>
        <w:spacing w:before="120" w:after="120" w:line="276" w:lineRule="auto"/>
        <w:ind w:left="360"/>
        <w:contextualSpacing w:val="0"/>
        <w:rPr>
          <w:rFonts w:cs="Garamond"/>
          <w:noProof/>
          <w:sz w:val="24"/>
          <w:szCs w:val="24"/>
        </w:rPr>
      </w:pPr>
      <w:r w:rsidRPr="00806FF5">
        <w:rPr>
          <w:rFonts w:cs="Garamond"/>
          <w:noProof/>
          <w:sz w:val="24"/>
          <w:szCs w:val="24"/>
        </w:rPr>
        <w:fldChar w:fldCharType="begin">
          <w:ffData>
            <w:name w:val="Text1"/>
            <w:enabled/>
            <w:calcOnExit w:val="0"/>
            <w:textInput/>
          </w:ffData>
        </w:fldChar>
      </w:r>
      <w:r w:rsidRPr="00806FF5">
        <w:rPr>
          <w:rFonts w:cs="Garamond"/>
          <w:noProof/>
          <w:sz w:val="24"/>
          <w:szCs w:val="24"/>
        </w:rPr>
        <w:instrText xml:space="preserve"> FORMTEXT </w:instrText>
      </w:r>
      <w:r w:rsidRPr="00806FF5">
        <w:rPr>
          <w:rFonts w:cs="Garamond"/>
          <w:noProof/>
          <w:sz w:val="24"/>
          <w:szCs w:val="24"/>
        </w:rPr>
      </w:r>
      <w:r w:rsidRPr="00806FF5">
        <w:rPr>
          <w:rFonts w:cs="Garamond"/>
          <w:noProof/>
          <w:sz w:val="24"/>
          <w:szCs w:val="24"/>
        </w:rPr>
        <w:fldChar w:fldCharType="separate"/>
      </w:r>
      <w:r w:rsidRPr="00806FF5">
        <w:rPr>
          <w:rFonts w:cs="Garamond"/>
          <w:noProof/>
          <w:sz w:val="24"/>
          <w:szCs w:val="24"/>
        </w:rPr>
        <w:t> </w:t>
      </w:r>
      <w:r w:rsidRPr="00806FF5">
        <w:rPr>
          <w:rFonts w:cs="Garamond"/>
          <w:noProof/>
          <w:sz w:val="24"/>
          <w:szCs w:val="24"/>
        </w:rPr>
        <w:t> </w:t>
      </w:r>
      <w:r w:rsidRPr="00806FF5">
        <w:rPr>
          <w:rFonts w:cs="Garamond"/>
          <w:noProof/>
          <w:sz w:val="24"/>
          <w:szCs w:val="24"/>
        </w:rPr>
        <w:t> </w:t>
      </w:r>
      <w:r w:rsidRPr="00806FF5">
        <w:rPr>
          <w:rFonts w:cs="Garamond"/>
          <w:noProof/>
          <w:sz w:val="24"/>
          <w:szCs w:val="24"/>
        </w:rPr>
        <w:t> </w:t>
      </w:r>
      <w:r w:rsidRPr="00806FF5">
        <w:rPr>
          <w:rFonts w:cs="Garamond"/>
          <w:noProof/>
          <w:sz w:val="24"/>
          <w:szCs w:val="24"/>
        </w:rPr>
        <w:t> </w:t>
      </w:r>
      <w:r w:rsidRPr="00806FF5">
        <w:rPr>
          <w:rFonts w:cs="Garamond"/>
          <w:noProof/>
          <w:sz w:val="24"/>
          <w:szCs w:val="24"/>
        </w:rPr>
        <w:fldChar w:fldCharType="end"/>
      </w:r>
    </w:p>
    <w:p w14:paraId="5C88CF92" w14:textId="77777777" w:rsidR="004C10A8" w:rsidRPr="00016E69" w:rsidRDefault="004C10A8" w:rsidP="007837FC">
      <w:pPr>
        <w:spacing w:before="120" w:after="120"/>
        <w:jc w:val="both"/>
        <w:rPr>
          <w:rFonts w:ascii="Garamond" w:hAnsi="Garamond"/>
          <w:b/>
          <w:sz w:val="24"/>
          <w:szCs w:val="24"/>
        </w:rPr>
      </w:pPr>
    </w:p>
    <w:p w14:paraId="078FE950" w14:textId="77777777" w:rsidR="00BD43CB" w:rsidRPr="00137AA0" w:rsidRDefault="00BD43CB" w:rsidP="00CD7CD8">
      <w:pPr>
        <w:pStyle w:val="berschrift2"/>
      </w:pPr>
      <w:bookmarkStart w:id="18" w:name="_Toc415476083"/>
      <w:r w:rsidRPr="00137AA0">
        <w:t xml:space="preserve">C. </w:t>
      </w:r>
      <w:r w:rsidR="001B435B" w:rsidRPr="00137AA0">
        <w:t>The New Group Coordination Proceedings</w:t>
      </w:r>
      <w:bookmarkStart w:id="19" w:name="_Toc415476084"/>
      <w:bookmarkEnd w:id="18"/>
    </w:p>
    <w:p w14:paraId="36F64A4D" w14:textId="77777777" w:rsidR="001B435B" w:rsidRPr="00BD43CB" w:rsidRDefault="00BD43CB" w:rsidP="00CD7CD8">
      <w:pPr>
        <w:pStyle w:val="berschrift3"/>
        <w:rPr>
          <w:b/>
        </w:rPr>
      </w:pPr>
      <w:r w:rsidRPr="00BD43CB">
        <w:t xml:space="preserve">I. </w:t>
      </w:r>
      <w:r w:rsidR="001B435B" w:rsidRPr="00BD43CB">
        <w:t>Reform</w:t>
      </w:r>
      <w:bookmarkEnd w:id="19"/>
    </w:p>
    <w:p w14:paraId="218D3435" w14:textId="77777777" w:rsidR="001B435B" w:rsidRPr="00016E69" w:rsidRDefault="001B435B" w:rsidP="007837FC">
      <w:pPr>
        <w:spacing w:before="120" w:after="120"/>
        <w:jc w:val="both"/>
        <w:rPr>
          <w:rFonts w:ascii="Garamond" w:hAnsi="Garamond"/>
          <w:sz w:val="24"/>
          <w:szCs w:val="24"/>
          <w:lang w:val="en-GB"/>
        </w:rPr>
      </w:pPr>
      <w:r w:rsidRPr="00016E69">
        <w:rPr>
          <w:rFonts w:ascii="Garamond" w:hAnsi="Garamond"/>
          <w:sz w:val="24"/>
          <w:szCs w:val="24"/>
          <w:lang w:val="en-GB"/>
        </w:rPr>
        <w:t xml:space="preserve">It is the purpose of the newly introduced group coordination proceedings to (i) improve the coordination of (parallel) insolvency proceedings relating to different group members (ii) allow for a coordinated restructuring of the group and, more generally, (iii) ensure the efficiency of the </w:t>
      </w:r>
      <w:proofErr w:type="gramStart"/>
      <w:r w:rsidRPr="00016E69">
        <w:rPr>
          <w:rFonts w:ascii="Garamond" w:hAnsi="Garamond"/>
          <w:sz w:val="24"/>
          <w:szCs w:val="24"/>
          <w:lang w:val="en-GB"/>
        </w:rPr>
        <w:t>coordination</w:t>
      </w:r>
      <w:proofErr w:type="gramEnd"/>
      <w:r w:rsidRPr="00016E69">
        <w:rPr>
          <w:rFonts w:ascii="Garamond" w:hAnsi="Garamond"/>
          <w:sz w:val="24"/>
          <w:szCs w:val="24"/>
          <w:lang w:val="en-GB"/>
        </w:rPr>
        <w:t xml:space="preserve">. In achieving these goals the impartial group coordinator (cf. Article 71 EIR-R) </w:t>
      </w:r>
      <w:r w:rsidRPr="00016E69">
        <w:rPr>
          <w:rFonts w:ascii="Garamond" w:hAnsi="Garamond"/>
          <w:sz w:val="24"/>
          <w:szCs w:val="24"/>
          <w:lang w:val="en-GB"/>
        </w:rPr>
        <w:lastRenderedPageBreak/>
        <w:t xml:space="preserve">plays a key role. </w:t>
      </w:r>
    </w:p>
    <w:p w14:paraId="41188CA0" w14:textId="77777777" w:rsidR="001B435B" w:rsidRPr="00016E69" w:rsidRDefault="001B435B" w:rsidP="007837FC">
      <w:pPr>
        <w:spacing w:before="120" w:after="120"/>
        <w:jc w:val="both"/>
        <w:rPr>
          <w:rFonts w:ascii="Garamond" w:hAnsi="Garamond"/>
          <w:sz w:val="24"/>
          <w:szCs w:val="24"/>
          <w:lang w:val="en-GB"/>
        </w:rPr>
      </w:pPr>
      <w:r w:rsidRPr="00016E69">
        <w:rPr>
          <w:rFonts w:ascii="Garamond" w:hAnsi="Garamond"/>
          <w:sz w:val="24"/>
          <w:szCs w:val="24"/>
          <w:lang w:val="en-GB"/>
        </w:rPr>
        <w:t xml:space="preserve">Any court having jurisdiction over the insolvency of a member of the group is competent to decide on a request to open group coordination proceedings (Article 61(1) EIR-R). In case of parallel requests Article 62 EIR-R enshrines a priority rule in favour of the court first seised. The court will then have to inform the insolvency practitioners of group companies, but only if it is satisfied that the conditions of Article 63(1) are met. The insolvency practitioners may, within thirty days after receipt of the court’s notice, opt out of the group coordination proceedings (i.e. object to the inclusion of the respective proceedings) or object (only) to the person proposed as a coordinator (Article 64 EIR-R). If the insolvency practitioner of a group company opts out, the insolvency proceedings relating to that group member shall not be affected by the court’s decision to open group coordination proceedings and by the group coordinator’s powers (cf. Article 65(2) EIR-R). This does, however, not exclude the possibility to opt in at a later point in time (pursuant to Article 69(1) lit. b EIR-R). </w:t>
      </w:r>
    </w:p>
    <w:p w14:paraId="65D7B8E1" w14:textId="77777777" w:rsidR="001B435B" w:rsidRPr="00016E69" w:rsidRDefault="001B435B" w:rsidP="007837FC">
      <w:pPr>
        <w:spacing w:before="120" w:after="120"/>
        <w:jc w:val="both"/>
        <w:rPr>
          <w:rFonts w:ascii="Garamond" w:hAnsi="Garamond"/>
          <w:sz w:val="24"/>
          <w:szCs w:val="24"/>
          <w:lang w:val="en-GB"/>
        </w:rPr>
      </w:pPr>
      <w:r w:rsidRPr="00016E69">
        <w:rPr>
          <w:rFonts w:ascii="Garamond" w:hAnsi="Garamond"/>
          <w:sz w:val="24"/>
          <w:szCs w:val="24"/>
          <w:lang w:val="en-GB"/>
        </w:rPr>
        <w:t>The participating insolvency practitioners of group companies shall</w:t>
      </w:r>
      <w:r w:rsidRPr="00016E69">
        <w:rPr>
          <w:rFonts w:ascii="Garamond" w:hAnsi="Garamond"/>
          <w:i/>
          <w:sz w:val="24"/>
          <w:szCs w:val="24"/>
          <w:lang w:val="en-GB"/>
        </w:rPr>
        <w:t xml:space="preserve"> consider</w:t>
      </w:r>
      <w:r w:rsidRPr="00016E69">
        <w:rPr>
          <w:rFonts w:ascii="Garamond" w:hAnsi="Garamond"/>
          <w:sz w:val="24"/>
          <w:szCs w:val="24"/>
          <w:lang w:val="en-GB"/>
        </w:rPr>
        <w:t xml:space="preserve"> the group coordinator’s recommendations and the group coordination plan. However, they are </w:t>
      </w:r>
      <w:r w:rsidRPr="00016E69">
        <w:rPr>
          <w:rFonts w:ascii="Garamond" w:hAnsi="Garamond"/>
          <w:i/>
          <w:sz w:val="24"/>
          <w:szCs w:val="24"/>
          <w:lang w:val="en-GB"/>
        </w:rPr>
        <w:t>not obliged</w:t>
      </w:r>
      <w:r w:rsidRPr="00016E69">
        <w:rPr>
          <w:rFonts w:ascii="Garamond" w:hAnsi="Garamond"/>
          <w:sz w:val="24"/>
          <w:szCs w:val="24"/>
          <w:lang w:val="en-GB"/>
        </w:rPr>
        <w:t xml:space="preserve"> to follow them. If they decide against following them they shall give reasons for not doing so to the group coordinator and, if applicable, to the competent body under the applicable </w:t>
      </w:r>
      <w:r w:rsidRPr="00016E69">
        <w:rPr>
          <w:rFonts w:ascii="Garamond" w:hAnsi="Garamond"/>
          <w:i/>
          <w:sz w:val="24"/>
          <w:szCs w:val="24"/>
          <w:lang w:val="en-GB"/>
        </w:rPr>
        <w:t xml:space="preserve">lex fori concursus </w:t>
      </w:r>
      <w:r w:rsidRPr="00016E69">
        <w:rPr>
          <w:rFonts w:ascii="Garamond" w:hAnsi="Garamond"/>
          <w:sz w:val="24"/>
          <w:szCs w:val="24"/>
          <w:lang w:val="en-GB"/>
        </w:rPr>
        <w:t xml:space="preserve">(cf. Article 70(2) EIR-R). </w:t>
      </w:r>
    </w:p>
    <w:p w14:paraId="1FDC7904" w14:textId="77777777" w:rsidR="001B435B" w:rsidRPr="00016E69" w:rsidRDefault="001B435B" w:rsidP="007837FC">
      <w:pPr>
        <w:spacing w:before="120" w:after="120"/>
        <w:jc w:val="both"/>
        <w:rPr>
          <w:rFonts w:ascii="Garamond" w:hAnsi="Garamond"/>
          <w:sz w:val="24"/>
          <w:szCs w:val="24"/>
          <w:lang w:val="en-GB"/>
        </w:rPr>
      </w:pPr>
      <w:r w:rsidRPr="00016E69">
        <w:rPr>
          <w:rFonts w:ascii="Garamond" w:hAnsi="Garamond"/>
          <w:sz w:val="24"/>
          <w:szCs w:val="24"/>
          <w:lang w:val="en-GB"/>
        </w:rPr>
        <w:t>The group coordinator has to be qualified to act as an insolvency practitioner “</w:t>
      </w:r>
      <w:r w:rsidRPr="00016E69">
        <w:rPr>
          <w:rFonts w:ascii="Garamond" w:hAnsi="Garamond"/>
          <w:i/>
          <w:sz w:val="24"/>
          <w:szCs w:val="24"/>
          <w:lang w:val="en-GB"/>
        </w:rPr>
        <w:t>under the law of a Member State</w:t>
      </w:r>
      <w:r w:rsidRPr="00016E69">
        <w:rPr>
          <w:rFonts w:ascii="Garamond" w:hAnsi="Garamond"/>
          <w:sz w:val="24"/>
          <w:szCs w:val="24"/>
          <w:lang w:val="en-GB"/>
        </w:rPr>
        <w:t xml:space="preserve">” and shall not be one of the insolvency practitioners of a group company (Article 71 EIR-R). It is the group coordinator’s duty to identify and outline recommendations for the coordinated conduct of the insolvency proceedings and to propose a group coordination plan (Article 72(1) EIR-R). Additionally, Article 72(2) EIR-R lists the group coordinator’s powers, among which the right to request a stay for a period up to six month of the proceedings opened in respect of any member of the group. These powers, however, only extend to group members participating in the group coordination proceedings. </w:t>
      </w:r>
    </w:p>
    <w:p w14:paraId="681B49CB" w14:textId="77777777" w:rsidR="001B435B" w:rsidRPr="00016E69" w:rsidRDefault="001B435B" w:rsidP="007837FC">
      <w:pPr>
        <w:spacing w:before="120" w:after="120"/>
        <w:jc w:val="both"/>
        <w:rPr>
          <w:rFonts w:ascii="Garamond" w:hAnsi="Garamond"/>
          <w:sz w:val="24"/>
          <w:szCs w:val="24"/>
          <w:lang w:val="en-GB"/>
        </w:rPr>
      </w:pPr>
    </w:p>
    <w:p w14:paraId="79EAEB8D" w14:textId="77777777" w:rsidR="001B435B" w:rsidRPr="00E311CD" w:rsidRDefault="00E311CD" w:rsidP="00CD7CD8">
      <w:pPr>
        <w:pStyle w:val="berschrift3"/>
        <w:rPr>
          <w:b/>
        </w:rPr>
      </w:pPr>
      <w:bookmarkStart w:id="20" w:name="_Toc415476086"/>
      <w:r>
        <w:t xml:space="preserve">II. </w:t>
      </w:r>
      <w:r w:rsidR="001B435B" w:rsidRPr="00E311CD">
        <w:t>Questions</w:t>
      </w:r>
      <w:bookmarkEnd w:id="20"/>
    </w:p>
    <w:p w14:paraId="445B7543" w14:textId="77777777" w:rsidR="001B435B" w:rsidRPr="00016E69" w:rsidRDefault="001B435B" w:rsidP="007837FC">
      <w:pPr>
        <w:spacing w:before="120" w:after="120"/>
        <w:jc w:val="both"/>
        <w:rPr>
          <w:rFonts w:ascii="Garamond" w:hAnsi="Garamond"/>
          <w:sz w:val="24"/>
          <w:szCs w:val="24"/>
          <w:lang w:val="en-GB"/>
        </w:rPr>
      </w:pPr>
      <w:r w:rsidRPr="00016E69">
        <w:rPr>
          <w:rFonts w:ascii="Garamond" w:hAnsi="Garamond"/>
          <w:sz w:val="24"/>
          <w:szCs w:val="24"/>
          <w:lang w:val="en-GB"/>
        </w:rPr>
        <w:t>In view of the previous considerations:</w:t>
      </w:r>
    </w:p>
    <w:p w14:paraId="03AE5AB1" w14:textId="77777777" w:rsidR="00E311CD" w:rsidRDefault="001B435B" w:rsidP="00134105">
      <w:pPr>
        <w:pStyle w:val="Listenabsatz"/>
        <w:numPr>
          <w:ilvl w:val="0"/>
          <w:numId w:val="40"/>
        </w:numPr>
        <w:spacing w:before="120" w:after="120"/>
        <w:rPr>
          <w:b/>
          <w:sz w:val="24"/>
          <w:szCs w:val="24"/>
          <w:lang w:val="en-US"/>
        </w:rPr>
      </w:pPr>
      <w:r w:rsidRPr="00E311CD">
        <w:rPr>
          <w:b/>
          <w:sz w:val="24"/>
          <w:szCs w:val="24"/>
          <w:lang w:val="en-US"/>
        </w:rPr>
        <w:t>Does the adoption of group coordination proceedings, in your view, improve the coordination of (parallel) insolvency proceedings relating to different group members and the restructuring of corporate groups and, if so, why</w:t>
      </w:r>
      <w:r w:rsidR="00134358" w:rsidRPr="00E311CD">
        <w:rPr>
          <w:b/>
          <w:sz w:val="24"/>
          <w:szCs w:val="24"/>
          <w:lang w:val="en-US"/>
        </w:rPr>
        <w:t xml:space="preserve"> or why not</w:t>
      </w:r>
      <w:r w:rsidRPr="00E311CD">
        <w:rPr>
          <w:b/>
          <w:sz w:val="24"/>
          <w:szCs w:val="24"/>
          <w:lang w:val="en-US"/>
        </w:rPr>
        <w:t xml:space="preserve">? </w:t>
      </w:r>
    </w:p>
    <w:p w14:paraId="52D9F97D" w14:textId="77777777" w:rsidR="004C10A8" w:rsidRPr="00806FF5" w:rsidRDefault="004C10A8" w:rsidP="00806FF5">
      <w:pPr>
        <w:pStyle w:val="Listenabsatz"/>
        <w:spacing w:before="120" w:after="120" w:line="276" w:lineRule="auto"/>
        <w:ind w:left="360"/>
        <w:contextualSpacing w:val="0"/>
        <w:rPr>
          <w:rFonts w:cs="Garamond"/>
          <w:noProof/>
          <w:sz w:val="24"/>
          <w:szCs w:val="24"/>
        </w:rPr>
      </w:pPr>
      <w:r w:rsidRPr="00806FF5">
        <w:rPr>
          <w:rFonts w:cs="Garamond"/>
          <w:noProof/>
          <w:sz w:val="24"/>
          <w:szCs w:val="24"/>
        </w:rPr>
        <w:fldChar w:fldCharType="begin">
          <w:ffData>
            <w:name w:val="Text1"/>
            <w:enabled/>
            <w:calcOnExit w:val="0"/>
            <w:textInput/>
          </w:ffData>
        </w:fldChar>
      </w:r>
      <w:r w:rsidRPr="00806FF5">
        <w:rPr>
          <w:rFonts w:cs="Garamond"/>
          <w:noProof/>
          <w:sz w:val="24"/>
          <w:szCs w:val="24"/>
        </w:rPr>
        <w:instrText xml:space="preserve"> FORMTEXT </w:instrText>
      </w:r>
      <w:r w:rsidRPr="00806FF5">
        <w:rPr>
          <w:rFonts w:cs="Garamond"/>
          <w:noProof/>
          <w:sz w:val="24"/>
          <w:szCs w:val="24"/>
        </w:rPr>
      </w:r>
      <w:r w:rsidRPr="00806FF5">
        <w:rPr>
          <w:rFonts w:cs="Garamond"/>
          <w:noProof/>
          <w:sz w:val="24"/>
          <w:szCs w:val="24"/>
        </w:rPr>
        <w:fldChar w:fldCharType="separate"/>
      </w:r>
      <w:r w:rsidRPr="00806FF5">
        <w:rPr>
          <w:rFonts w:cs="Garamond"/>
          <w:noProof/>
          <w:sz w:val="24"/>
          <w:szCs w:val="24"/>
        </w:rPr>
        <w:t> </w:t>
      </w:r>
      <w:r w:rsidRPr="00806FF5">
        <w:rPr>
          <w:rFonts w:cs="Garamond"/>
          <w:noProof/>
          <w:sz w:val="24"/>
          <w:szCs w:val="24"/>
        </w:rPr>
        <w:t> </w:t>
      </w:r>
      <w:r w:rsidRPr="00806FF5">
        <w:rPr>
          <w:rFonts w:cs="Garamond"/>
          <w:noProof/>
          <w:sz w:val="24"/>
          <w:szCs w:val="24"/>
        </w:rPr>
        <w:t> </w:t>
      </w:r>
      <w:r w:rsidRPr="00806FF5">
        <w:rPr>
          <w:rFonts w:cs="Garamond"/>
          <w:noProof/>
          <w:sz w:val="24"/>
          <w:szCs w:val="24"/>
        </w:rPr>
        <w:t> </w:t>
      </w:r>
      <w:r w:rsidRPr="00806FF5">
        <w:rPr>
          <w:rFonts w:cs="Garamond"/>
          <w:noProof/>
          <w:sz w:val="24"/>
          <w:szCs w:val="24"/>
        </w:rPr>
        <w:t> </w:t>
      </w:r>
      <w:r w:rsidRPr="00806FF5">
        <w:rPr>
          <w:rFonts w:cs="Garamond"/>
          <w:noProof/>
          <w:sz w:val="24"/>
          <w:szCs w:val="24"/>
        </w:rPr>
        <w:fldChar w:fldCharType="end"/>
      </w:r>
    </w:p>
    <w:p w14:paraId="0F450B4D" w14:textId="77777777" w:rsidR="001B435B" w:rsidRPr="00016E69" w:rsidRDefault="001B435B" w:rsidP="007837FC">
      <w:pPr>
        <w:spacing w:before="120" w:after="120"/>
        <w:jc w:val="both"/>
        <w:rPr>
          <w:rFonts w:ascii="Garamond" w:hAnsi="Garamond"/>
          <w:sz w:val="24"/>
          <w:szCs w:val="24"/>
          <w:lang w:val="en-GB"/>
        </w:rPr>
      </w:pPr>
    </w:p>
    <w:p w14:paraId="66CF491C" w14:textId="77777777" w:rsidR="001B435B" w:rsidRPr="00016E69" w:rsidRDefault="001B435B" w:rsidP="007837FC">
      <w:pPr>
        <w:spacing w:before="120" w:after="120"/>
        <w:jc w:val="both"/>
        <w:rPr>
          <w:rFonts w:ascii="Garamond" w:hAnsi="Garamond"/>
          <w:sz w:val="24"/>
          <w:szCs w:val="24"/>
          <w:lang w:val="en-GB"/>
        </w:rPr>
      </w:pPr>
    </w:p>
    <w:p w14:paraId="3934A398" w14:textId="77777777" w:rsidR="00BF7361" w:rsidRPr="00016E69" w:rsidRDefault="00BF7361" w:rsidP="007837FC">
      <w:pPr>
        <w:spacing w:before="120" w:after="120"/>
        <w:rPr>
          <w:rFonts w:ascii="Garamond" w:hAnsi="Garamond"/>
          <w:sz w:val="24"/>
          <w:szCs w:val="24"/>
          <w:lang w:val="en-GB"/>
        </w:rPr>
      </w:pPr>
    </w:p>
    <w:sectPr w:rsidR="00BF7361" w:rsidRPr="00016E69" w:rsidSect="00F3441B">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567"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B684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6E324" w14:textId="77777777" w:rsidR="006D00DD" w:rsidRDefault="006D00DD">
      <w:pPr>
        <w:spacing w:after="0" w:line="240" w:lineRule="auto"/>
      </w:pPr>
      <w:r>
        <w:separator/>
      </w:r>
    </w:p>
  </w:endnote>
  <w:endnote w:type="continuationSeparator" w:id="0">
    <w:p w14:paraId="360EF8A8" w14:textId="77777777" w:rsidR="006D00DD" w:rsidRDefault="006D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FE284" w14:textId="77777777" w:rsidR="00CD7CD8" w:rsidRPr="002F10D8" w:rsidRDefault="00CD7CD8" w:rsidP="00F23464">
    <w:pPr>
      <w:pStyle w:val="Fuzeile"/>
      <w:jc w:val="right"/>
      <w:rPr>
        <w:rFonts w:ascii="Garamond" w:hAnsi="Garamond"/>
        <w:color w:val="808080" w:themeColor="background1" w:themeShade="80"/>
      </w:rPr>
    </w:pPr>
    <w:r w:rsidRPr="002F10D8">
      <w:rPr>
        <w:rFonts w:ascii="Garamond" w:hAnsi="Garamond"/>
        <w:color w:val="808080" w:themeColor="background1" w:themeShade="80"/>
      </w:rPr>
      <w:fldChar w:fldCharType="begin"/>
    </w:r>
    <w:r w:rsidRPr="002F10D8">
      <w:rPr>
        <w:rFonts w:ascii="Garamond" w:hAnsi="Garamond"/>
        <w:color w:val="808080" w:themeColor="background1" w:themeShade="80"/>
      </w:rPr>
      <w:instrText xml:space="preserve"> PAGE   \* MERGEFORMAT </w:instrText>
    </w:r>
    <w:r w:rsidRPr="002F10D8">
      <w:rPr>
        <w:rFonts w:ascii="Garamond" w:hAnsi="Garamond"/>
        <w:color w:val="808080" w:themeColor="background1" w:themeShade="80"/>
      </w:rPr>
      <w:fldChar w:fldCharType="separate"/>
    </w:r>
    <w:r w:rsidR="00BA06DC">
      <w:rPr>
        <w:rFonts w:ascii="Garamond" w:hAnsi="Garamond"/>
        <w:noProof/>
        <w:color w:val="808080" w:themeColor="background1" w:themeShade="80"/>
      </w:rPr>
      <w:t>2</w:t>
    </w:r>
    <w:r w:rsidRPr="002F10D8">
      <w:rPr>
        <w:rFonts w:ascii="Garamond" w:hAnsi="Garamond"/>
        <w:noProof/>
        <w:color w:val="808080" w:themeColor="background1" w:themeShade="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606100"/>
      <w:docPartObj>
        <w:docPartGallery w:val="Page Numbers (Bottom of Page)"/>
        <w:docPartUnique/>
      </w:docPartObj>
    </w:sdtPr>
    <w:sdtEndPr>
      <w:rPr>
        <w:noProof/>
        <w:color w:val="808080" w:themeColor="background1" w:themeShade="80"/>
      </w:rPr>
    </w:sdtEndPr>
    <w:sdtContent>
      <w:p w14:paraId="0C14644B" w14:textId="77777777" w:rsidR="00CD7CD8" w:rsidRPr="002F10D8" w:rsidRDefault="00CD7CD8" w:rsidP="001F4413">
        <w:pPr>
          <w:pStyle w:val="Fuzeile"/>
          <w:tabs>
            <w:tab w:val="left" w:pos="3195"/>
            <w:tab w:val="right" w:pos="9027"/>
          </w:tabs>
          <w:rPr>
            <w:color w:val="808080" w:themeColor="background1" w:themeShade="80"/>
          </w:rPr>
        </w:pPr>
        <w:r>
          <w:tab/>
        </w:r>
        <w:r>
          <w:tab/>
        </w:r>
        <w:r>
          <w:tab/>
        </w:r>
        <w:r w:rsidRPr="002F10D8">
          <w:rPr>
            <w:color w:val="808080" w:themeColor="background1" w:themeShade="80"/>
          </w:rPr>
          <w:fldChar w:fldCharType="begin"/>
        </w:r>
        <w:r w:rsidRPr="002F10D8">
          <w:rPr>
            <w:color w:val="808080" w:themeColor="background1" w:themeShade="80"/>
          </w:rPr>
          <w:instrText xml:space="preserve"> PAGE   \* MERGEFORMAT </w:instrText>
        </w:r>
        <w:r w:rsidRPr="002F10D8">
          <w:rPr>
            <w:color w:val="808080" w:themeColor="background1" w:themeShade="80"/>
          </w:rPr>
          <w:fldChar w:fldCharType="separate"/>
        </w:r>
        <w:r w:rsidR="00BA06DC">
          <w:rPr>
            <w:noProof/>
            <w:color w:val="808080" w:themeColor="background1" w:themeShade="80"/>
          </w:rPr>
          <w:t>3</w:t>
        </w:r>
        <w:r w:rsidRPr="002F10D8">
          <w:rPr>
            <w:noProof/>
            <w:color w:val="808080" w:themeColor="background1" w:themeShade="80"/>
          </w:rPr>
          <w:fldChar w:fldCharType="end"/>
        </w:r>
      </w:p>
    </w:sdtContent>
  </w:sdt>
  <w:p w14:paraId="05583900" w14:textId="77777777" w:rsidR="00CD7CD8" w:rsidRPr="002F10D8" w:rsidRDefault="00CD7CD8">
    <w:pPr>
      <w:spacing w:after="0" w:line="200" w:lineRule="exact"/>
      <w:rPr>
        <w:color w:val="808080" w:themeColor="background1" w:themeShade="8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72F7C" w14:textId="77777777" w:rsidR="00CD7CD8" w:rsidRDefault="00CD7C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E8255" w14:textId="77777777" w:rsidR="006D00DD" w:rsidRDefault="006D00DD">
      <w:pPr>
        <w:spacing w:after="0" w:line="240" w:lineRule="auto"/>
      </w:pPr>
      <w:r>
        <w:separator/>
      </w:r>
    </w:p>
  </w:footnote>
  <w:footnote w:type="continuationSeparator" w:id="0">
    <w:p w14:paraId="7DB4BA9A" w14:textId="77777777" w:rsidR="006D00DD" w:rsidRDefault="006D00DD">
      <w:pPr>
        <w:spacing w:after="0" w:line="240" w:lineRule="auto"/>
      </w:pPr>
      <w:r>
        <w:continuationSeparator/>
      </w:r>
    </w:p>
  </w:footnote>
  <w:footnote w:id="1">
    <w:p w14:paraId="07374FF5" w14:textId="77777777" w:rsidR="00CD7CD8" w:rsidRPr="00652BD4" w:rsidRDefault="00CD7CD8" w:rsidP="00741E16">
      <w:pPr>
        <w:pStyle w:val="Funotentext"/>
        <w:jc w:val="both"/>
        <w:rPr>
          <w:rFonts w:ascii="Garamond" w:hAnsi="Garamond"/>
        </w:rPr>
      </w:pPr>
      <w:r>
        <w:rPr>
          <w:rStyle w:val="Funotenzeichen"/>
        </w:rPr>
        <w:footnoteRef/>
      </w:r>
      <w:r>
        <w:t xml:space="preserve"> </w:t>
      </w:r>
      <w:r w:rsidRPr="00A52B15">
        <w:rPr>
          <w:rFonts w:ascii="Garamond" w:hAnsi="Garamond"/>
        </w:rPr>
        <w:t xml:space="preserve">See Communication A new European approach to business failure and insolvency, COM (2012) 742, at 2. In the same vein, </w:t>
      </w:r>
      <w:proofErr w:type="spellStart"/>
      <w:r w:rsidRPr="00A52B15">
        <w:rPr>
          <w:rFonts w:ascii="Garamond" w:hAnsi="Garamond"/>
        </w:rPr>
        <w:t>i</w:t>
      </w:r>
      <w:proofErr w:type="spellEnd"/>
      <w:r w:rsidRPr="00A52B15">
        <w:rPr>
          <w:rFonts w:ascii="Garamond" w:hAnsi="Garamond"/>
          <w:lang w:val="en-GB"/>
        </w:rPr>
        <w:t xml:space="preserve">n 2014 the Commission adopted a recommendation </w:t>
      </w:r>
      <w:r w:rsidRPr="00652BD4">
        <w:rPr>
          <w:rFonts w:ascii="Garamond" w:hAnsi="Garamond"/>
          <w:lang w:val="en-GB"/>
        </w:rPr>
        <w:t xml:space="preserve">to </w:t>
      </w:r>
      <w:r>
        <w:rPr>
          <w:rFonts w:ascii="Garamond" w:hAnsi="Garamond"/>
          <w:lang w:val="en-GB"/>
        </w:rPr>
        <w:t>“</w:t>
      </w:r>
      <w:r w:rsidRPr="00652BD4">
        <w:rPr>
          <w:rFonts w:ascii="Garamond" w:hAnsi="Garamond"/>
        </w:rPr>
        <w:t>encourage greater coherence between the national insolvency frameworks in order to reduce divergences and inefficiencies which</w:t>
      </w:r>
      <w:r w:rsidRPr="00A52B15">
        <w:rPr>
          <w:rFonts w:ascii="Garamond" w:hAnsi="Garamond"/>
          <w:i/>
        </w:rPr>
        <w:t xml:space="preserve"> </w:t>
      </w:r>
      <w:r w:rsidRPr="00652BD4">
        <w:rPr>
          <w:rFonts w:ascii="Garamond" w:hAnsi="Garamond"/>
        </w:rPr>
        <w:t>hamper the early restructuring of viable companies in financial difficulties and the possibility of a second chance for honest entrepreneurs, and thereby to lower the cost of restructuring for both debtors and creditors”</w:t>
      </w:r>
      <w:r w:rsidRPr="00652BD4">
        <w:rPr>
          <w:rFonts w:ascii="Garamond" w:hAnsi="Garamond"/>
          <w:lang w:val="en-GB"/>
        </w:rPr>
        <w:t>, COM (2014) 1500.</w:t>
      </w:r>
    </w:p>
  </w:footnote>
  <w:footnote w:id="2">
    <w:p w14:paraId="700311B7" w14:textId="77777777" w:rsidR="00CD7CD8" w:rsidRPr="00807B1B" w:rsidRDefault="00CD7CD8" w:rsidP="00A857E7">
      <w:pPr>
        <w:pStyle w:val="Funotentext"/>
        <w:rPr>
          <w:lang w:val="de-DE"/>
        </w:rPr>
      </w:pPr>
      <w:r>
        <w:rPr>
          <w:rStyle w:val="Funotenzeichen"/>
        </w:rPr>
        <w:footnoteRef/>
      </w:r>
      <w:r w:rsidRPr="00807B1B">
        <w:rPr>
          <w:lang w:val="de-DE"/>
        </w:rPr>
        <w:t xml:space="preserve"> </w:t>
      </w:r>
      <w:proofErr w:type="spellStart"/>
      <w:r w:rsidRPr="00807B1B">
        <w:rPr>
          <w:rFonts w:ascii="Garamond" w:hAnsi="Garamond"/>
          <w:sz w:val="18"/>
          <w:szCs w:val="18"/>
          <w:lang w:val="de-DE"/>
        </w:rPr>
        <w:t>Judgment</w:t>
      </w:r>
      <w:proofErr w:type="spellEnd"/>
      <w:r w:rsidRPr="00807B1B">
        <w:rPr>
          <w:rFonts w:ascii="Garamond" w:hAnsi="Garamond"/>
          <w:sz w:val="18"/>
          <w:szCs w:val="18"/>
          <w:lang w:val="de-DE"/>
        </w:rPr>
        <w:t xml:space="preserve"> in </w:t>
      </w:r>
      <w:r w:rsidRPr="00807B1B">
        <w:rPr>
          <w:rFonts w:ascii="Garamond" w:hAnsi="Garamond"/>
          <w:i/>
          <w:sz w:val="18"/>
          <w:szCs w:val="18"/>
          <w:lang w:val="de-DE"/>
        </w:rPr>
        <w:t xml:space="preserve">H, </w:t>
      </w:r>
      <w:r w:rsidRPr="00807B1B">
        <w:rPr>
          <w:rFonts w:ascii="Garamond" w:hAnsi="Garamond"/>
          <w:sz w:val="18"/>
          <w:szCs w:val="18"/>
          <w:lang w:val="de-DE"/>
        </w:rPr>
        <w:t>C-295/13,</w:t>
      </w:r>
      <w:r w:rsidRPr="00807B1B">
        <w:rPr>
          <w:rFonts w:ascii="Garamond" w:hAnsi="Garamond"/>
          <w:i/>
          <w:sz w:val="18"/>
          <w:szCs w:val="18"/>
          <w:lang w:val="de-DE"/>
        </w:rPr>
        <w:t xml:space="preserve"> </w:t>
      </w:r>
      <w:r w:rsidRPr="00807B1B">
        <w:rPr>
          <w:rFonts w:ascii="Garamond" w:hAnsi="Garamond"/>
          <w:sz w:val="18"/>
          <w:szCs w:val="18"/>
          <w:lang w:val="de-DE"/>
        </w:rPr>
        <w:t>ECLI:EU:C:2014:2410</w:t>
      </w:r>
      <w:r>
        <w:rPr>
          <w:rFonts w:ascii="Garamond" w:hAnsi="Garamond"/>
          <w:sz w:val="18"/>
          <w:szCs w:val="18"/>
          <w:lang w:val="de-DE"/>
        </w:rPr>
        <w:t>.</w:t>
      </w:r>
    </w:p>
  </w:footnote>
  <w:footnote w:id="3">
    <w:p w14:paraId="40CB7DA9" w14:textId="77777777" w:rsidR="00CD7CD8" w:rsidRPr="00807B1B" w:rsidRDefault="00CD7CD8" w:rsidP="00A857E7">
      <w:pPr>
        <w:pStyle w:val="Funotentext"/>
        <w:rPr>
          <w:rFonts w:ascii="Garamond" w:hAnsi="Garamond"/>
          <w:sz w:val="18"/>
          <w:szCs w:val="18"/>
          <w:lang w:val="de-DE"/>
        </w:rPr>
      </w:pPr>
      <w:r w:rsidRPr="00CD2E6A">
        <w:rPr>
          <w:rStyle w:val="Funotenzeichen"/>
          <w:rFonts w:ascii="Garamond" w:hAnsi="Garamond"/>
          <w:sz w:val="18"/>
          <w:szCs w:val="18"/>
        </w:rPr>
        <w:footnoteRef/>
      </w:r>
      <w:r w:rsidRPr="00807B1B">
        <w:rPr>
          <w:rFonts w:ascii="Garamond" w:hAnsi="Garamond"/>
          <w:sz w:val="18"/>
          <w:szCs w:val="18"/>
          <w:lang w:val="de-DE"/>
        </w:rPr>
        <w:t xml:space="preserve"> </w:t>
      </w:r>
      <w:proofErr w:type="spellStart"/>
      <w:r w:rsidRPr="00807B1B">
        <w:rPr>
          <w:rFonts w:ascii="Garamond" w:hAnsi="Garamond" w:cs="Garamond"/>
          <w:sz w:val="18"/>
          <w:szCs w:val="18"/>
          <w:lang w:val="de-DE"/>
        </w:rPr>
        <w:t>Judgment</w:t>
      </w:r>
      <w:proofErr w:type="spellEnd"/>
      <w:r w:rsidRPr="00807B1B">
        <w:rPr>
          <w:rFonts w:ascii="Garamond" w:hAnsi="Garamond" w:cs="Garamond"/>
          <w:sz w:val="18"/>
          <w:szCs w:val="18"/>
          <w:lang w:val="de-DE"/>
        </w:rPr>
        <w:t xml:space="preserve"> in </w:t>
      </w:r>
      <w:r w:rsidRPr="00807B1B">
        <w:rPr>
          <w:rFonts w:ascii="Garamond" w:hAnsi="Garamond" w:cs="Garamond"/>
          <w:bCs/>
          <w:i/>
          <w:sz w:val="18"/>
          <w:szCs w:val="18"/>
          <w:lang w:val="de-DE"/>
        </w:rPr>
        <w:t xml:space="preserve">Schmid, </w:t>
      </w:r>
      <w:r w:rsidRPr="00807B1B">
        <w:rPr>
          <w:rFonts w:ascii="Garamond" w:hAnsi="Garamond" w:cs="Garamond"/>
          <w:sz w:val="18"/>
          <w:szCs w:val="18"/>
          <w:lang w:val="de-DE"/>
        </w:rPr>
        <w:t>C-328/12, ECLI:EU:C:2014:6.</w:t>
      </w:r>
    </w:p>
  </w:footnote>
  <w:footnote w:id="4">
    <w:p w14:paraId="59A090B0" w14:textId="77777777" w:rsidR="00CD7CD8" w:rsidRPr="00807B1B" w:rsidRDefault="00CD7CD8" w:rsidP="00A857E7">
      <w:pPr>
        <w:pStyle w:val="Funotentext"/>
        <w:rPr>
          <w:rFonts w:ascii="Garamond" w:hAnsi="Garamond"/>
          <w:sz w:val="18"/>
          <w:szCs w:val="18"/>
          <w:lang w:val="de-DE"/>
        </w:rPr>
      </w:pPr>
      <w:r w:rsidRPr="00CD2E6A">
        <w:rPr>
          <w:rStyle w:val="Funotenzeichen"/>
          <w:rFonts w:ascii="Garamond" w:hAnsi="Garamond"/>
          <w:sz w:val="18"/>
          <w:szCs w:val="18"/>
        </w:rPr>
        <w:footnoteRef/>
      </w:r>
      <w:r w:rsidRPr="00807B1B">
        <w:rPr>
          <w:rFonts w:ascii="Garamond" w:hAnsi="Garamond"/>
          <w:sz w:val="18"/>
          <w:szCs w:val="18"/>
          <w:lang w:val="de-DE"/>
        </w:rPr>
        <w:t xml:space="preserve"> </w:t>
      </w:r>
      <w:proofErr w:type="spellStart"/>
      <w:r w:rsidRPr="00807B1B">
        <w:rPr>
          <w:rFonts w:ascii="Garamond" w:hAnsi="Garamond"/>
          <w:sz w:val="18"/>
          <w:szCs w:val="18"/>
          <w:lang w:val="de-DE"/>
        </w:rPr>
        <w:t>Judgment</w:t>
      </w:r>
      <w:proofErr w:type="spellEnd"/>
      <w:r w:rsidRPr="00807B1B">
        <w:rPr>
          <w:rFonts w:ascii="Garamond" w:hAnsi="Garamond"/>
          <w:sz w:val="18"/>
          <w:szCs w:val="18"/>
          <w:lang w:val="de-DE"/>
        </w:rPr>
        <w:t xml:space="preserve"> in </w:t>
      </w:r>
      <w:r w:rsidRPr="00807B1B">
        <w:rPr>
          <w:rFonts w:ascii="Garamond" w:hAnsi="Garamond"/>
          <w:i/>
          <w:sz w:val="18"/>
          <w:szCs w:val="18"/>
          <w:lang w:val="de-DE"/>
        </w:rPr>
        <w:t xml:space="preserve">H, </w:t>
      </w:r>
      <w:r w:rsidRPr="00807B1B">
        <w:rPr>
          <w:rFonts w:ascii="Garamond" w:hAnsi="Garamond"/>
          <w:sz w:val="18"/>
          <w:szCs w:val="18"/>
          <w:lang w:val="de-DE"/>
        </w:rPr>
        <w:t>C-295/13,</w:t>
      </w:r>
      <w:r w:rsidRPr="00807B1B">
        <w:rPr>
          <w:rFonts w:ascii="Garamond" w:hAnsi="Garamond"/>
          <w:i/>
          <w:sz w:val="18"/>
          <w:szCs w:val="18"/>
          <w:lang w:val="de-DE"/>
        </w:rPr>
        <w:t xml:space="preserve"> </w:t>
      </w:r>
      <w:r w:rsidRPr="00807B1B">
        <w:rPr>
          <w:rFonts w:ascii="Garamond" w:hAnsi="Garamond"/>
          <w:sz w:val="18"/>
          <w:szCs w:val="18"/>
          <w:lang w:val="de-DE"/>
        </w:rPr>
        <w:t>ECLI:EU:C:2014:2410.</w:t>
      </w:r>
    </w:p>
  </w:footnote>
  <w:footnote w:id="5">
    <w:p w14:paraId="7FDB9709" w14:textId="77777777" w:rsidR="00CD7CD8" w:rsidRPr="005E5BB1" w:rsidRDefault="00CD7CD8" w:rsidP="00484236">
      <w:pPr>
        <w:pStyle w:val="Funotentext"/>
        <w:rPr>
          <w:rFonts w:ascii="Garamond" w:hAnsi="Garamond"/>
          <w:sz w:val="18"/>
          <w:szCs w:val="18"/>
          <w:lang w:val="de-DE"/>
        </w:rPr>
      </w:pPr>
      <w:r w:rsidRPr="00153586">
        <w:rPr>
          <w:rStyle w:val="Funotenzeichen"/>
          <w:rFonts w:ascii="Garamond" w:hAnsi="Garamond"/>
          <w:sz w:val="18"/>
          <w:szCs w:val="18"/>
        </w:rPr>
        <w:footnoteRef/>
      </w:r>
      <w:r w:rsidRPr="00807B1B">
        <w:rPr>
          <w:rFonts w:ascii="Garamond" w:hAnsi="Garamond"/>
          <w:sz w:val="18"/>
          <w:szCs w:val="18"/>
          <w:lang w:val="de-DE"/>
        </w:rPr>
        <w:t xml:space="preserve"> </w:t>
      </w:r>
      <w:proofErr w:type="spellStart"/>
      <w:r w:rsidRPr="00134358">
        <w:rPr>
          <w:rFonts w:ascii="Garamond" w:hAnsi="Garamond"/>
          <w:sz w:val="18"/>
          <w:szCs w:val="18"/>
          <w:lang w:val="de-DE"/>
        </w:rPr>
        <w:t>Judgment</w:t>
      </w:r>
      <w:proofErr w:type="spellEnd"/>
      <w:r w:rsidRPr="00807B1B">
        <w:rPr>
          <w:rFonts w:ascii="Garamond" w:hAnsi="Garamond"/>
          <w:sz w:val="18"/>
          <w:szCs w:val="18"/>
          <w:lang w:val="de-DE"/>
        </w:rPr>
        <w:t xml:space="preserve"> </w:t>
      </w:r>
      <w:r w:rsidRPr="00134358">
        <w:rPr>
          <w:rFonts w:ascii="Garamond" w:hAnsi="Garamond"/>
          <w:sz w:val="18"/>
          <w:szCs w:val="18"/>
          <w:lang w:val="de-DE"/>
        </w:rPr>
        <w:t>in</w:t>
      </w:r>
      <w:r w:rsidRPr="00807B1B">
        <w:rPr>
          <w:rFonts w:ascii="Garamond" w:hAnsi="Garamond"/>
          <w:sz w:val="18"/>
          <w:szCs w:val="18"/>
          <w:lang w:val="de-DE"/>
        </w:rPr>
        <w:t xml:space="preserve"> </w:t>
      </w:r>
      <w:r w:rsidRPr="00134358">
        <w:rPr>
          <w:rFonts w:ascii="Garamond" w:hAnsi="Garamond"/>
          <w:i/>
          <w:sz w:val="18"/>
          <w:szCs w:val="18"/>
          <w:lang w:val="de-DE"/>
        </w:rPr>
        <w:t>Bank</w:t>
      </w:r>
      <w:r w:rsidRPr="00807B1B">
        <w:rPr>
          <w:rFonts w:ascii="Garamond" w:hAnsi="Garamond"/>
          <w:i/>
          <w:sz w:val="18"/>
          <w:szCs w:val="18"/>
          <w:lang w:val="de-DE"/>
        </w:rPr>
        <w:t xml:space="preserve"> </w:t>
      </w:r>
      <w:proofErr w:type="spellStart"/>
      <w:r w:rsidRPr="00134358">
        <w:rPr>
          <w:rFonts w:ascii="Garamond" w:hAnsi="Garamond"/>
          <w:i/>
          <w:sz w:val="18"/>
          <w:szCs w:val="18"/>
          <w:lang w:val="de-DE"/>
        </w:rPr>
        <w:t>Handlowy</w:t>
      </w:r>
      <w:proofErr w:type="spellEnd"/>
      <w:r w:rsidRPr="00807B1B">
        <w:rPr>
          <w:rFonts w:ascii="Garamond" w:hAnsi="Garamond"/>
          <w:i/>
          <w:sz w:val="18"/>
          <w:szCs w:val="18"/>
          <w:lang w:val="de-DE"/>
        </w:rPr>
        <w:t xml:space="preserve"> </w:t>
      </w:r>
      <w:r w:rsidRPr="00134358">
        <w:rPr>
          <w:rFonts w:ascii="Garamond" w:hAnsi="Garamond"/>
          <w:i/>
          <w:sz w:val="18"/>
          <w:szCs w:val="18"/>
          <w:lang w:val="de-DE"/>
        </w:rPr>
        <w:t>und</w:t>
      </w:r>
      <w:r w:rsidRPr="00807B1B">
        <w:rPr>
          <w:rFonts w:ascii="Garamond" w:hAnsi="Garamond"/>
          <w:i/>
          <w:sz w:val="18"/>
          <w:szCs w:val="18"/>
          <w:lang w:val="de-DE"/>
        </w:rPr>
        <w:t xml:space="preserve"> </w:t>
      </w:r>
      <w:proofErr w:type="spellStart"/>
      <w:r w:rsidRPr="00134358">
        <w:rPr>
          <w:rFonts w:ascii="Garamond" w:hAnsi="Garamond"/>
          <w:i/>
          <w:sz w:val="18"/>
          <w:szCs w:val="18"/>
          <w:lang w:val="de-DE"/>
        </w:rPr>
        <w:t>Adamiak</w:t>
      </w:r>
      <w:proofErr w:type="spellEnd"/>
      <w:r w:rsidRPr="00807B1B">
        <w:rPr>
          <w:rFonts w:ascii="Garamond" w:hAnsi="Garamond"/>
          <w:sz w:val="18"/>
          <w:szCs w:val="18"/>
          <w:lang w:val="de-DE"/>
        </w:rPr>
        <w:t xml:space="preserve">, </w:t>
      </w:r>
      <w:r w:rsidRPr="00134358">
        <w:rPr>
          <w:rFonts w:ascii="Garamond" w:hAnsi="Garamond"/>
          <w:sz w:val="18"/>
          <w:szCs w:val="18"/>
          <w:lang w:val="de-DE"/>
        </w:rPr>
        <w:t>C</w:t>
      </w:r>
      <w:r w:rsidRPr="00807B1B">
        <w:rPr>
          <w:rFonts w:ascii="Garamond" w:hAnsi="Garamond"/>
          <w:sz w:val="18"/>
          <w:szCs w:val="18"/>
          <w:lang w:val="de-DE"/>
        </w:rPr>
        <w:t xml:space="preserve">-116/11, </w:t>
      </w:r>
      <w:r w:rsidRPr="00134358">
        <w:rPr>
          <w:rFonts w:ascii="Garamond" w:hAnsi="Garamond"/>
          <w:sz w:val="18"/>
          <w:szCs w:val="18"/>
          <w:lang w:val="de-DE"/>
        </w:rPr>
        <w:t>ECLI</w:t>
      </w:r>
      <w:r w:rsidRPr="00807B1B">
        <w:rPr>
          <w:rFonts w:ascii="Garamond" w:hAnsi="Garamond"/>
          <w:sz w:val="18"/>
          <w:szCs w:val="18"/>
          <w:lang w:val="de-DE"/>
        </w:rPr>
        <w:t>:</w:t>
      </w:r>
      <w:r w:rsidRPr="00134358">
        <w:rPr>
          <w:rFonts w:ascii="Garamond" w:hAnsi="Garamond"/>
          <w:sz w:val="18"/>
          <w:szCs w:val="18"/>
          <w:lang w:val="de-DE"/>
        </w:rPr>
        <w:t>EU</w:t>
      </w:r>
      <w:r w:rsidRPr="00807B1B">
        <w:rPr>
          <w:rFonts w:ascii="Garamond" w:hAnsi="Garamond"/>
          <w:sz w:val="18"/>
          <w:szCs w:val="18"/>
          <w:lang w:val="de-DE"/>
        </w:rPr>
        <w:t>:</w:t>
      </w:r>
      <w:r w:rsidRPr="00134358">
        <w:rPr>
          <w:rFonts w:ascii="Garamond" w:hAnsi="Garamond"/>
          <w:sz w:val="18"/>
          <w:szCs w:val="18"/>
          <w:lang w:val="de-DE"/>
        </w:rPr>
        <w:t>C</w:t>
      </w:r>
      <w:r w:rsidRPr="00807B1B">
        <w:rPr>
          <w:rFonts w:ascii="Garamond" w:hAnsi="Garamond"/>
          <w:sz w:val="18"/>
          <w:szCs w:val="18"/>
          <w:lang w:val="de-DE"/>
        </w:rPr>
        <w:t>:2012:739,</w:t>
      </w:r>
      <w:r w:rsidRPr="00D92E65">
        <w:rPr>
          <w:rFonts w:ascii="Garamond" w:hAnsi="Garamond"/>
          <w:sz w:val="18"/>
          <w:szCs w:val="18"/>
          <w:lang w:val="de-DE"/>
        </w:rPr>
        <w:t xml:space="preserve"> </w:t>
      </w:r>
      <w:proofErr w:type="spellStart"/>
      <w:r w:rsidRPr="00134358">
        <w:rPr>
          <w:rFonts w:ascii="Garamond" w:hAnsi="Garamond"/>
          <w:sz w:val="18"/>
          <w:szCs w:val="18"/>
          <w:lang w:val="de-DE"/>
        </w:rPr>
        <w:t>para</w:t>
      </w:r>
      <w:proofErr w:type="spellEnd"/>
      <w:r w:rsidRPr="00807B1B">
        <w:rPr>
          <w:rFonts w:ascii="Garamond" w:hAnsi="Garamond"/>
          <w:sz w:val="18"/>
          <w:szCs w:val="18"/>
          <w:lang w:val="de-DE"/>
        </w:rPr>
        <w:t xml:space="preserve">. 33 </w:t>
      </w:r>
      <w:r w:rsidRPr="00134358">
        <w:rPr>
          <w:rFonts w:ascii="Garamond" w:hAnsi="Garamond"/>
          <w:i/>
          <w:sz w:val="18"/>
          <w:szCs w:val="18"/>
          <w:lang w:val="de-DE"/>
        </w:rPr>
        <w:t>et</w:t>
      </w:r>
      <w:r w:rsidRPr="00807B1B">
        <w:rPr>
          <w:rFonts w:ascii="Garamond" w:hAnsi="Garamond"/>
          <w:i/>
          <w:sz w:val="18"/>
          <w:szCs w:val="18"/>
          <w:lang w:val="de-DE"/>
        </w:rPr>
        <w:t xml:space="preserve"> </w:t>
      </w:r>
      <w:r w:rsidRPr="00134358">
        <w:rPr>
          <w:rFonts w:ascii="Garamond" w:hAnsi="Garamond"/>
          <w:i/>
          <w:sz w:val="18"/>
          <w:szCs w:val="18"/>
          <w:lang w:val="de-DE"/>
        </w:rPr>
        <w:t>seq</w:t>
      </w:r>
      <w:r w:rsidRPr="00807B1B">
        <w:rPr>
          <w:rFonts w:ascii="Garamond" w:hAnsi="Garamond"/>
          <w:i/>
          <w:sz w:val="18"/>
          <w:szCs w:val="18"/>
          <w:lang w:val="de-DE"/>
        </w:rPr>
        <w:t>.</w:t>
      </w:r>
    </w:p>
  </w:footnote>
  <w:footnote w:id="6">
    <w:p w14:paraId="263E3213" w14:textId="77777777" w:rsidR="00CD7CD8" w:rsidRPr="00D92E65" w:rsidRDefault="00CD7CD8" w:rsidP="009B14C2">
      <w:pPr>
        <w:pStyle w:val="Funotentext"/>
        <w:rPr>
          <w:rFonts w:ascii="Garamond" w:hAnsi="Garamond"/>
          <w:sz w:val="18"/>
          <w:szCs w:val="18"/>
        </w:rPr>
      </w:pPr>
      <w:r w:rsidRPr="00153586">
        <w:rPr>
          <w:rStyle w:val="Funotenzeichen"/>
          <w:rFonts w:ascii="Garamond" w:hAnsi="Garamond"/>
          <w:sz w:val="18"/>
          <w:szCs w:val="18"/>
        </w:rPr>
        <w:footnoteRef/>
      </w:r>
      <w:r w:rsidRPr="00D92E65">
        <w:rPr>
          <w:rFonts w:ascii="Garamond" w:hAnsi="Garamond"/>
          <w:sz w:val="18"/>
          <w:szCs w:val="18"/>
        </w:rPr>
        <w:t xml:space="preserve"> Judgment in </w:t>
      </w:r>
      <w:proofErr w:type="spellStart"/>
      <w:r w:rsidRPr="00D92E65">
        <w:rPr>
          <w:rFonts w:ascii="Garamond" w:hAnsi="Garamond"/>
          <w:i/>
          <w:sz w:val="18"/>
          <w:szCs w:val="18"/>
        </w:rPr>
        <w:t>Gourdain</w:t>
      </w:r>
      <w:proofErr w:type="spellEnd"/>
      <w:r w:rsidRPr="00D92E65">
        <w:rPr>
          <w:rFonts w:ascii="Garamond" w:hAnsi="Garamond"/>
          <w:sz w:val="18"/>
          <w:szCs w:val="18"/>
        </w:rPr>
        <w:t>, 133/78, ECLI</w:t>
      </w:r>
      <w:proofErr w:type="gramStart"/>
      <w:r w:rsidRPr="00D92E65">
        <w:rPr>
          <w:rFonts w:ascii="Garamond" w:hAnsi="Garamond"/>
          <w:sz w:val="18"/>
          <w:szCs w:val="18"/>
        </w:rPr>
        <w:t>:EU:C:1979:49</w:t>
      </w:r>
      <w:proofErr w:type="gramEnd"/>
      <w:r w:rsidRPr="00D92E65">
        <w:rPr>
          <w:rFonts w:ascii="Garamond" w:hAnsi="Garamond"/>
          <w:sz w:val="18"/>
          <w:szCs w:val="18"/>
        </w:rPr>
        <w:t>.</w:t>
      </w:r>
    </w:p>
  </w:footnote>
  <w:footnote w:id="7">
    <w:p w14:paraId="3B13DBD8" w14:textId="77777777" w:rsidR="00CD7CD8" w:rsidRPr="007A42F6" w:rsidRDefault="00CD7CD8" w:rsidP="009B14C2">
      <w:pPr>
        <w:pStyle w:val="Funotentext"/>
        <w:rPr>
          <w:rFonts w:ascii="Garamond" w:hAnsi="Garamond"/>
          <w:sz w:val="18"/>
          <w:szCs w:val="18"/>
          <w:lang w:val="de-DE"/>
        </w:rPr>
      </w:pPr>
      <w:r w:rsidRPr="00153586">
        <w:rPr>
          <w:rStyle w:val="Funotenzeichen"/>
          <w:rFonts w:ascii="Garamond" w:hAnsi="Garamond"/>
          <w:sz w:val="18"/>
          <w:szCs w:val="18"/>
        </w:rPr>
        <w:footnoteRef/>
      </w:r>
      <w:r w:rsidRPr="00D92E65">
        <w:rPr>
          <w:rFonts w:ascii="Garamond" w:hAnsi="Garamond"/>
          <w:sz w:val="18"/>
          <w:szCs w:val="18"/>
          <w:lang w:val="de-DE"/>
        </w:rPr>
        <w:t xml:space="preserve"> </w:t>
      </w:r>
      <w:proofErr w:type="spellStart"/>
      <w:r w:rsidRPr="00D92E65">
        <w:rPr>
          <w:rFonts w:ascii="Garamond" w:hAnsi="Garamond"/>
          <w:sz w:val="18"/>
          <w:szCs w:val="18"/>
          <w:lang w:val="de-DE"/>
        </w:rPr>
        <w:t>Judgment</w:t>
      </w:r>
      <w:proofErr w:type="spellEnd"/>
      <w:r w:rsidRPr="00D92E65">
        <w:rPr>
          <w:rFonts w:ascii="Garamond" w:hAnsi="Garamond"/>
          <w:sz w:val="18"/>
          <w:szCs w:val="18"/>
          <w:lang w:val="de-DE"/>
        </w:rPr>
        <w:t xml:space="preserve"> in </w:t>
      </w:r>
      <w:r w:rsidRPr="00D92E65">
        <w:rPr>
          <w:rFonts w:ascii="Garamond" w:hAnsi="Garamond"/>
          <w:i/>
          <w:sz w:val="18"/>
          <w:szCs w:val="18"/>
          <w:lang w:val="de-DE"/>
        </w:rPr>
        <w:t>Seagon</w:t>
      </w:r>
      <w:r w:rsidRPr="00D92E65">
        <w:rPr>
          <w:rFonts w:ascii="Garamond" w:hAnsi="Garamond"/>
          <w:sz w:val="18"/>
          <w:szCs w:val="18"/>
          <w:lang w:val="de-DE"/>
        </w:rPr>
        <w:t xml:space="preserve">, C-339/07, ECLI : EU:C:2009:83, </w:t>
      </w:r>
      <w:proofErr w:type="spellStart"/>
      <w:r w:rsidRPr="00D92E65">
        <w:rPr>
          <w:rFonts w:ascii="Garamond" w:hAnsi="Garamond"/>
          <w:sz w:val="18"/>
          <w:szCs w:val="18"/>
          <w:lang w:val="de-DE"/>
        </w:rPr>
        <w:t>paras</w:t>
      </w:r>
      <w:proofErr w:type="spellEnd"/>
      <w:r w:rsidRPr="00D92E65">
        <w:rPr>
          <w:rFonts w:ascii="Garamond" w:hAnsi="Garamond"/>
          <w:sz w:val="18"/>
          <w:szCs w:val="18"/>
          <w:lang w:val="de-DE"/>
        </w:rPr>
        <w:t xml:space="preserve">. </w:t>
      </w:r>
      <w:r w:rsidRPr="007A42F6">
        <w:rPr>
          <w:rFonts w:ascii="Garamond" w:hAnsi="Garamond"/>
          <w:sz w:val="18"/>
          <w:szCs w:val="18"/>
          <w:lang w:val="de-DE"/>
        </w:rPr>
        <w:t xml:space="preserve">19 </w:t>
      </w:r>
      <w:r w:rsidRPr="007A42F6">
        <w:rPr>
          <w:rFonts w:ascii="Garamond" w:hAnsi="Garamond"/>
          <w:i/>
          <w:sz w:val="18"/>
          <w:szCs w:val="18"/>
          <w:lang w:val="de-DE"/>
        </w:rPr>
        <w:t>et seq.</w:t>
      </w:r>
    </w:p>
  </w:footnote>
  <w:footnote w:id="8">
    <w:p w14:paraId="03E5B840" w14:textId="77777777" w:rsidR="00CD7CD8" w:rsidRPr="00CD2E6A" w:rsidRDefault="00CD7CD8">
      <w:pPr>
        <w:pStyle w:val="Funotentext"/>
        <w:rPr>
          <w:rFonts w:ascii="Garamond" w:hAnsi="Garamond"/>
          <w:sz w:val="18"/>
          <w:szCs w:val="18"/>
          <w:lang w:val="de-DE"/>
        </w:rPr>
      </w:pPr>
      <w:r w:rsidRPr="00CD2E6A">
        <w:rPr>
          <w:rStyle w:val="Funotenzeichen"/>
          <w:rFonts w:ascii="Garamond" w:hAnsi="Garamond"/>
          <w:sz w:val="18"/>
          <w:szCs w:val="18"/>
        </w:rPr>
        <w:footnoteRef/>
      </w:r>
      <w:r w:rsidRPr="00CD2E6A">
        <w:rPr>
          <w:rFonts w:ascii="Garamond" w:hAnsi="Garamond"/>
          <w:sz w:val="18"/>
          <w:szCs w:val="18"/>
          <w:lang w:val="de-DE"/>
        </w:rPr>
        <w:t xml:space="preserve"> </w:t>
      </w:r>
      <w:proofErr w:type="spellStart"/>
      <w:r w:rsidRPr="00CD2E6A">
        <w:rPr>
          <w:rFonts w:ascii="Garamond" w:hAnsi="Garamond"/>
          <w:sz w:val="18"/>
          <w:szCs w:val="18"/>
          <w:lang w:val="de-DE"/>
        </w:rPr>
        <w:t>Judgment</w:t>
      </w:r>
      <w:proofErr w:type="spellEnd"/>
      <w:r w:rsidRPr="00CD2E6A">
        <w:rPr>
          <w:rFonts w:ascii="Garamond" w:hAnsi="Garamond"/>
          <w:sz w:val="18"/>
          <w:szCs w:val="18"/>
          <w:lang w:val="de-DE"/>
        </w:rPr>
        <w:t xml:space="preserve"> in </w:t>
      </w:r>
      <w:r w:rsidRPr="00CD2E6A">
        <w:rPr>
          <w:rFonts w:ascii="Garamond" w:hAnsi="Garamond"/>
          <w:i/>
          <w:sz w:val="18"/>
          <w:szCs w:val="18"/>
          <w:lang w:val="de-DE"/>
        </w:rPr>
        <w:t xml:space="preserve">Nickel &amp; </w:t>
      </w:r>
      <w:proofErr w:type="spellStart"/>
      <w:r w:rsidRPr="00CD2E6A">
        <w:rPr>
          <w:rFonts w:ascii="Garamond" w:hAnsi="Garamond"/>
          <w:i/>
          <w:sz w:val="18"/>
          <w:szCs w:val="18"/>
          <w:lang w:val="de-DE"/>
        </w:rPr>
        <w:t>Goeldner</w:t>
      </w:r>
      <w:proofErr w:type="spellEnd"/>
      <w:r w:rsidRPr="00CD2E6A">
        <w:rPr>
          <w:rFonts w:ascii="Garamond" w:hAnsi="Garamond"/>
          <w:i/>
          <w:sz w:val="18"/>
          <w:szCs w:val="18"/>
          <w:lang w:val="de-DE"/>
        </w:rPr>
        <w:t xml:space="preserve"> Spedition</w:t>
      </w:r>
      <w:r w:rsidRPr="00CD2E6A">
        <w:rPr>
          <w:rFonts w:ascii="Garamond" w:hAnsi="Garamond"/>
          <w:sz w:val="18"/>
          <w:szCs w:val="18"/>
          <w:lang w:val="de-DE"/>
        </w:rPr>
        <w:t>, C-157/13 , EU:C:2014:2145</w:t>
      </w:r>
      <w:r>
        <w:rPr>
          <w:rFonts w:ascii="Garamond" w:hAnsi="Garamond"/>
          <w:sz w:val="18"/>
          <w:szCs w:val="18"/>
          <w:lang w:val="de-DE"/>
        </w:rPr>
        <w:t xml:space="preserve">; </w:t>
      </w:r>
      <w:proofErr w:type="spellStart"/>
      <w:r w:rsidRPr="00741E16">
        <w:rPr>
          <w:rFonts w:ascii="Garamond" w:hAnsi="Garamond"/>
          <w:sz w:val="18"/>
          <w:szCs w:val="18"/>
          <w:lang w:val="de-DE"/>
        </w:rPr>
        <w:t>Judgment</w:t>
      </w:r>
      <w:proofErr w:type="spellEnd"/>
      <w:r w:rsidRPr="00741E16">
        <w:rPr>
          <w:rFonts w:ascii="Garamond" w:hAnsi="Garamond"/>
          <w:sz w:val="18"/>
          <w:szCs w:val="18"/>
          <w:lang w:val="de-DE"/>
        </w:rPr>
        <w:t xml:space="preserve"> in </w:t>
      </w:r>
      <w:r w:rsidRPr="00741E16">
        <w:rPr>
          <w:rFonts w:ascii="Garamond" w:hAnsi="Garamond"/>
          <w:i/>
          <w:sz w:val="18"/>
          <w:szCs w:val="18"/>
          <w:lang w:val="de-DE"/>
        </w:rPr>
        <w:t xml:space="preserve">H, </w:t>
      </w:r>
      <w:r w:rsidRPr="00741E16">
        <w:rPr>
          <w:rFonts w:ascii="Garamond" w:hAnsi="Garamond"/>
          <w:sz w:val="18"/>
          <w:szCs w:val="18"/>
          <w:lang w:val="de-DE"/>
        </w:rPr>
        <w:t>C-295/13,</w:t>
      </w:r>
      <w:r w:rsidRPr="00741E16">
        <w:rPr>
          <w:rFonts w:ascii="Garamond" w:hAnsi="Garamond"/>
          <w:i/>
          <w:sz w:val="18"/>
          <w:szCs w:val="18"/>
          <w:lang w:val="de-DE"/>
        </w:rPr>
        <w:t xml:space="preserve"> </w:t>
      </w:r>
      <w:r w:rsidRPr="00741E16">
        <w:rPr>
          <w:rFonts w:ascii="Garamond" w:hAnsi="Garamond"/>
          <w:sz w:val="18"/>
          <w:szCs w:val="18"/>
          <w:lang w:val="de-DE"/>
        </w:rPr>
        <w:t>ECLI:EU:C:2014:2410</w:t>
      </w:r>
      <w:r>
        <w:rPr>
          <w:rFonts w:ascii="Garamond" w:hAnsi="Garamond"/>
          <w:sz w:val="18"/>
          <w:szCs w:val="18"/>
          <w:lang w:val="de-DE"/>
        </w:rPr>
        <w:t>.</w:t>
      </w:r>
    </w:p>
  </w:footnote>
  <w:footnote w:id="9">
    <w:p w14:paraId="1EDA2D5E" w14:textId="77777777" w:rsidR="00CD7CD8" w:rsidRPr="00D92E65" w:rsidRDefault="00CD7CD8" w:rsidP="009B70A1">
      <w:pPr>
        <w:pStyle w:val="Funotentext"/>
        <w:rPr>
          <w:rFonts w:ascii="Garamond" w:hAnsi="Garamond" w:cs="Arial"/>
          <w:sz w:val="18"/>
        </w:rPr>
      </w:pPr>
      <w:r w:rsidRPr="00586B7E">
        <w:rPr>
          <w:rStyle w:val="Funotenzeichen"/>
          <w:rFonts w:ascii="Garamond" w:hAnsi="Garamond" w:cs="Arial"/>
          <w:sz w:val="18"/>
        </w:rPr>
        <w:footnoteRef/>
      </w:r>
      <w:r w:rsidRPr="00D92E65">
        <w:rPr>
          <w:rFonts w:ascii="Garamond" w:hAnsi="Garamond" w:cs="Arial"/>
          <w:sz w:val="18"/>
        </w:rPr>
        <w:t xml:space="preserve"> </w:t>
      </w:r>
      <w:r w:rsidRPr="00D92E65">
        <w:rPr>
          <w:rFonts w:ascii="Garamond" w:hAnsi="Garamond" w:cs="Arial"/>
          <w:i/>
          <w:sz w:val="18"/>
        </w:rPr>
        <w:t>Collins &amp; Aikman Europe SA</w:t>
      </w:r>
      <w:r w:rsidRPr="00D92E65">
        <w:rPr>
          <w:rFonts w:ascii="Garamond" w:hAnsi="Garamond" w:cs="Arial"/>
          <w:sz w:val="18"/>
        </w:rPr>
        <w:t xml:space="preserve"> [2006] EWHC 1343; </w:t>
      </w:r>
      <w:r w:rsidRPr="00D92E65">
        <w:rPr>
          <w:rFonts w:ascii="Garamond" w:hAnsi="Garamond" w:cs="Arial"/>
          <w:i/>
          <w:sz w:val="18"/>
        </w:rPr>
        <w:t xml:space="preserve">MG Rover </w:t>
      </w:r>
      <w:proofErr w:type="spellStart"/>
      <w:r w:rsidRPr="00D92E65">
        <w:rPr>
          <w:rFonts w:ascii="Garamond" w:hAnsi="Garamond" w:cs="Arial"/>
          <w:i/>
          <w:sz w:val="18"/>
        </w:rPr>
        <w:t>Belux</w:t>
      </w:r>
      <w:proofErr w:type="spellEnd"/>
      <w:r w:rsidRPr="00D92E65">
        <w:rPr>
          <w:rFonts w:ascii="Garamond" w:hAnsi="Garamond" w:cs="Arial"/>
          <w:i/>
          <w:sz w:val="18"/>
        </w:rPr>
        <w:t xml:space="preserve"> SA/NV</w:t>
      </w:r>
      <w:r w:rsidRPr="00D92E65">
        <w:rPr>
          <w:rFonts w:ascii="Garamond" w:hAnsi="Garamond" w:cs="Arial"/>
          <w:sz w:val="18"/>
        </w:rPr>
        <w:t xml:space="preserve"> [2007] BCC 446; </w:t>
      </w:r>
      <w:r w:rsidRPr="00D92E65">
        <w:rPr>
          <w:rFonts w:ascii="Garamond" w:hAnsi="Garamond" w:cs="Arial"/>
          <w:i/>
          <w:sz w:val="18"/>
        </w:rPr>
        <w:t>Nortel Group</w:t>
      </w:r>
      <w:r w:rsidRPr="00D92E65">
        <w:rPr>
          <w:rFonts w:ascii="Garamond" w:hAnsi="Garamond" w:cs="Arial"/>
          <w:sz w:val="18"/>
        </w:rPr>
        <w:t xml:space="preserve"> [2009] EWHC 206 (</w:t>
      </w:r>
      <w:proofErr w:type="spellStart"/>
      <w:r w:rsidRPr="00D92E65">
        <w:rPr>
          <w:rFonts w:ascii="Garamond" w:hAnsi="Garamond" w:cs="Arial"/>
          <w:sz w:val="18"/>
        </w:rPr>
        <w:t>Ch</w:t>
      </w:r>
      <w:proofErr w:type="spellEnd"/>
      <w:r w:rsidRPr="00D92E65">
        <w:rPr>
          <w:rFonts w:ascii="Garamond" w:hAnsi="Garamond" w:cs="Arial"/>
          <w:sz w:val="18"/>
        </w:rPr>
        <w:t>) = IILR 2010, 47</w:t>
      </w:r>
      <w:proofErr w:type="gramStart"/>
      <w:r w:rsidRPr="00D92E65">
        <w:rPr>
          <w:rFonts w:ascii="Garamond" w:hAnsi="Garamond" w:cs="Arial"/>
          <w:sz w:val="18"/>
        </w:rPr>
        <w:t>..</w:t>
      </w:r>
      <w:proofErr w:type="gramEnd"/>
    </w:p>
  </w:footnote>
  <w:footnote w:id="10">
    <w:p w14:paraId="330B38E1" w14:textId="77777777" w:rsidR="00CD7CD8" w:rsidRPr="00D92E65" w:rsidRDefault="00CD7CD8">
      <w:pPr>
        <w:pStyle w:val="Funotentext"/>
        <w:rPr>
          <w:rFonts w:ascii="Garamond" w:hAnsi="Garamond"/>
        </w:rPr>
      </w:pPr>
      <w:r w:rsidRPr="007837FC">
        <w:rPr>
          <w:rStyle w:val="Funotenzeichen"/>
          <w:rFonts w:ascii="Garamond" w:hAnsi="Garamond"/>
        </w:rPr>
        <w:footnoteRef/>
      </w:r>
      <w:r w:rsidRPr="00D92E65">
        <w:rPr>
          <w:rFonts w:ascii="Garamond" w:hAnsi="Garamond"/>
        </w:rPr>
        <w:t xml:space="preserve"> Judgment in </w:t>
      </w:r>
      <w:proofErr w:type="spellStart"/>
      <w:r w:rsidRPr="00D92E65">
        <w:rPr>
          <w:rFonts w:ascii="Garamond" w:hAnsi="Garamond"/>
          <w:i/>
        </w:rPr>
        <w:t>Burgo</w:t>
      </w:r>
      <w:proofErr w:type="spellEnd"/>
      <w:r w:rsidRPr="00D92E65">
        <w:rPr>
          <w:rFonts w:ascii="Garamond" w:hAnsi="Garamond"/>
          <w:i/>
        </w:rPr>
        <w:t xml:space="preserve"> Group, </w:t>
      </w:r>
      <w:r w:rsidRPr="00D92E65">
        <w:rPr>
          <w:rFonts w:ascii="Garamond" w:hAnsi="Garamond"/>
        </w:rPr>
        <w:t>C-327/13, EU</w:t>
      </w:r>
      <w:proofErr w:type="gramStart"/>
      <w:r w:rsidRPr="00D92E65">
        <w:rPr>
          <w:rFonts w:ascii="Garamond" w:hAnsi="Garamond"/>
        </w:rPr>
        <w:t>:C:2014:2158</w:t>
      </w:r>
      <w:proofErr w:type="gramEnd"/>
      <w:r w:rsidRPr="00D92E65">
        <w:rPr>
          <w:rFonts w:ascii="Garamond" w:hAnsi="Garamond"/>
        </w:rPr>
        <w:t>.</w:t>
      </w:r>
    </w:p>
  </w:footnote>
  <w:footnote w:id="11">
    <w:p w14:paraId="5091DF63" w14:textId="77777777" w:rsidR="00CD7CD8" w:rsidRPr="00784ED9" w:rsidRDefault="00CD7CD8" w:rsidP="001B435B">
      <w:pPr>
        <w:pStyle w:val="Funotentext"/>
        <w:tabs>
          <w:tab w:val="left" w:pos="284"/>
        </w:tabs>
        <w:rPr>
          <w:rFonts w:ascii="Garamond" w:hAnsi="Garamond"/>
          <w:sz w:val="18"/>
          <w:szCs w:val="18"/>
          <w:lang w:val="it-IT"/>
        </w:rPr>
      </w:pPr>
      <w:r w:rsidRPr="00784ED9">
        <w:rPr>
          <w:rStyle w:val="Funotenzeichen"/>
          <w:rFonts w:ascii="Garamond" w:hAnsi="Garamond"/>
          <w:sz w:val="18"/>
          <w:szCs w:val="18"/>
        </w:rPr>
        <w:footnoteRef/>
      </w:r>
      <w:r w:rsidRPr="00784ED9">
        <w:rPr>
          <w:rFonts w:ascii="Garamond" w:hAnsi="Garamond"/>
          <w:sz w:val="18"/>
          <w:szCs w:val="18"/>
          <w:lang w:val="it-IT"/>
        </w:rPr>
        <w:t xml:space="preserve"> </w:t>
      </w:r>
      <w:proofErr w:type="spellStart"/>
      <w:r>
        <w:rPr>
          <w:rFonts w:ascii="Garamond" w:hAnsi="Garamond"/>
          <w:sz w:val="18"/>
          <w:szCs w:val="18"/>
          <w:lang w:val="it-IT"/>
        </w:rPr>
        <w:t>Judgment</w:t>
      </w:r>
      <w:proofErr w:type="spellEnd"/>
      <w:r>
        <w:rPr>
          <w:rFonts w:ascii="Garamond" w:hAnsi="Garamond"/>
          <w:sz w:val="18"/>
          <w:szCs w:val="18"/>
          <w:lang w:val="it-IT"/>
        </w:rPr>
        <w:t xml:space="preserve"> in</w:t>
      </w:r>
      <w:r w:rsidRPr="00784ED9">
        <w:rPr>
          <w:rFonts w:ascii="Garamond" w:hAnsi="Garamond"/>
          <w:sz w:val="18"/>
          <w:szCs w:val="18"/>
          <w:lang w:val="it-IT"/>
        </w:rPr>
        <w:t xml:space="preserve"> </w:t>
      </w:r>
      <w:proofErr w:type="spellStart"/>
      <w:r w:rsidRPr="00784ED9">
        <w:rPr>
          <w:rFonts w:ascii="Garamond" w:hAnsi="Garamond"/>
          <w:i/>
          <w:sz w:val="18"/>
          <w:szCs w:val="18"/>
          <w:lang w:val="it-IT"/>
        </w:rPr>
        <w:t>Interedil</w:t>
      </w:r>
      <w:proofErr w:type="spellEnd"/>
      <w:r>
        <w:rPr>
          <w:rFonts w:ascii="Garamond" w:hAnsi="Garamond"/>
          <w:i/>
          <w:sz w:val="18"/>
          <w:szCs w:val="18"/>
          <w:lang w:val="it-IT"/>
        </w:rPr>
        <w:t xml:space="preserve">, </w:t>
      </w:r>
      <w:r>
        <w:rPr>
          <w:rFonts w:ascii="Garamond" w:hAnsi="Garamond"/>
          <w:sz w:val="18"/>
          <w:szCs w:val="18"/>
          <w:lang w:val="it-IT"/>
        </w:rPr>
        <w:t xml:space="preserve">C-396/09, </w:t>
      </w:r>
      <w:r w:rsidRPr="00AA6D5E">
        <w:rPr>
          <w:rFonts w:ascii="Garamond" w:hAnsi="Garamond"/>
          <w:sz w:val="18"/>
          <w:szCs w:val="18"/>
          <w:lang w:val="it-IT"/>
        </w:rPr>
        <w:t>ECLI</w:t>
      </w:r>
      <w:proofErr w:type="gramStart"/>
      <w:r w:rsidRPr="00AA6D5E">
        <w:rPr>
          <w:rFonts w:ascii="Garamond" w:hAnsi="Garamond"/>
          <w:sz w:val="18"/>
          <w:szCs w:val="18"/>
          <w:lang w:val="it-IT"/>
        </w:rPr>
        <w:t>:</w:t>
      </w:r>
      <w:proofErr w:type="gramEnd"/>
      <w:r w:rsidRPr="00AA6D5E">
        <w:rPr>
          <w:rFonts w:ascii="Garamond" w:hAnsi="Garamond"/>
          <w:sz w:val="18"/>
          <w:szCs w:val="18"/>
          <w:lang w:val="it-IT"/>
        </w:rPr>
        <w:t>EU:C:2011:671</w:t>
      </w:r>
      <w:r w:rsidRPr="00784ED9">
        <w:rPr>
          <w:rFonts w:ascii="Garamond" w:hAnsi="Garamond"/>
          <w:sz w:val="18"/>
          <w:szCs w:val="18"/>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49A8E" w14:textId="77777777" w:rsidR="00CD7CD8" w:rsidRPr="002F10D8" w:rsidRDefault="00CD7CD8" w:rsidP="00D16A1B">
    <w:pPr>
      <w:spacing w:before="60" w:after="60" w:line="240" w:lineRule="auto"/>
      <w:jc w:val="center"/>
      <w:rPr>
        <w:rFonts w:ascii="Garamond" w:hAnsi="Garamond" w:cs="Arial"/>
        <w:color w:val="808080" w:themeColor="background1" w:themeShade="80"/>
        <w:sz w:val="26"/>
        <w:szCs w:val="26"/>
      </w:rPr>
    </w:pPr>
    <w:r w:rsidRPr="002F10D8">
      <w:rPr>
        <w:rFonts w:ascii="Garamond" w:hAnsi="Garamond" w:cs="Arial"/>
        <w:color w:val="808080" w:themeColor="background1" w:themeShade="80"/>
        <w:sz w:val="26"/>
        <w:szCs w:val="26"/>
      </w:rPr>
      <w:t>“Implementation of the New Insolvency Regulation”</w:t>
    </w:r>
    <w:r>
      <w:rPr>
        <w:rFonts w:ascii="Garamond" w:hAnsi="Garamond" w:cs="Arial"/>
        <w:color w:val="808080" w:themeColor="background1" w:themeShade="80"/>
        <w:sz w:val="26"/>
        <w:szCs w:val="26"/>
      </w:rPr>
      <w:t xml:space="preserve"> </w:t>
    </w:r>
    <w:r>
      <w:rPr>
        <w:rFonts w:ascii="Garamond" w:hAnsi="Garamond" w:cs="Arial"/>
        <w:color w:val="808080" w:themeColor="background1" w:themeShade="80"/>
        <w:sz w:val="26"/>
        <w:szCs w:val="26"/>
      </w:rPr>
      <w:br/>
    </w:r>
    <w:r w:rsidRPr="002F10D8">
      <w:rPr>
        <w:rFonts w:ascii="Garamond" w:hAnsi="Garamond" w:cs="Arial"/>
        <w:color w:val="808080" w:themeColor="background1" w:themeShade="80"/>
        <w:sz w:val="26"/>
        <w:szCs w:val="26"/>
      </w:rPr>
      <w:t>(JUST/2013/JCIV/AG/4679)</w:t>
    </w:r>
  </w:p>
  <w:p w14:paraId="698A3417" w14:textId="77777777" w:rsidR="00CD7CD8" w:rsidRPr="002F10D8" w:rsidRDefault="00CD7CD8" w:rsidP="002F10D8">
    <w:pPr>
      <w:spacing w:before="120" w:after="120"/>
      <w:jc w:val="center"/>
      <w:rPr>
        <w:color w:val="808080" w:themeColor="background1" w:themeShade="80"/>
        <w:sz w:val="14"/>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77EA9" w14:textId="77777777" w:rsidR="00CD7CD8" w:rsidRPr="002F10D8" w:rsidRDefault="00CD7CD8" w:rsidP="00D11752">
    <w:pPr>
      <w:pStyle w:val="Kopfzeile"/>
      <w:jc w:val="center"/>
      <w:rPr>
        <w:rFonts w:ascii="Garamond" w:hAnsi="Garamond"/>
        <w:color w:val="808080" w:themeColor="background1" w:themeShade="80"/>
        <w:sz w:val="26"/>
        <w:szCs w:val="26"/>
      </w:rPr>
    </w:pPr>
    <w:r w:rsidRPr="002F10D8">
      <w:rPr>
        <w:rFonts w:ascii="Garamond" w:hAnsi="Garamond"/>
        <w:color w:val="808080" w:themeColor="background1" w:themeShade="80"/>
        <w:sz w:val="26"/>
        <w:szCs w:val="26"/>
      </w:rPr>
      <w:t>Questionnaire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A5B3E" w14:textId="77777777" w:rsidR="00CD7CD8" w:rsidRDefault="00CD7C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lowerLetter"/>
      <w:lvlText w:val="%1)"/>
      <w:lvlJc w:val="left"/>
      <w:pPr>
        <w:tabs>
          <w:tab w:val="num" w:pos="0"/>
        </w:tabs>
        <w:ind w:left="720" w:hanging="360"/>
      </w:pPr>
      <w:rPr>
        <w:rFonts w:ascii="Garamond" w:eastAsia="SimSun" w:hAnsi="Garamond" w:cs="Garamond" w:hint="default"/>
        <w:sz w:val="26"/>
        <w:szCs w:val="26"/>
        <w:lang w:val="en-US"/>
      </w:rPr>
    </w:lvl>
  </w:abstractNum>
  <w:abstractNum w:abstractNumId="1">
    <w:nsid w:val="00000007"/>
    <w:multiLevelType w:val="singleLevel"/>
    <w:tmpl w:val="00000007"/>
    <w:name w:val="WW8Num7"/>
    <w:lvl w:ilvl="0">
      <w:start w:val="1"/>
      <w:numFmt w:val="lowerLetter"/>
      <w:lvlText w:val="%1)"/>
      <w:lvlJc w:val="left"/>
      <w:pPr>
        <w:tabs>
          <w:tab w:val="num" w:pos="349"/>
        </w:tabs>
        <w:ind w:left="1069" w:hanging="360"/>
      </w:pPr>
      <w:rPr>
        <w:rFonts w:ascii="Garamond" w:hAnsi="Garamond" w:cs="Garamond" w:hint="default"/>
        <w:sz w:val="26"/>
        <w:szCs w:val="26"/>
        <w:u w:val="none"/>
        <w:lang w:val="en-US"/>
      </w:rPr>
    </w:lvl>
  </w:abstractNum>
  <w:abstractNum w:abstractNumId="2">
    <w:nsid w:val="00000008"/>
    <w:multiLevelType w:val="singleLevel"/>
    <w:tmpl w:val="00000008"/>
    <w:name w:val="WW8Num8"/>
    <w:lvl w:ilvl="0">
      <w:start w:val="1"/>
      <w:numFmt w:val="lowerLetter"/>
      <w:lvlText w:val="%1)"/>
      <w:lvlJc w:val="left"/>
      <w:pPr>
        <w:tabs>
          <w:tab w:val="num" w:pos="0"/>
        </w:tabs>
        <w:ind w:left="720" w:hanging="360"/>
      </w:pPr>
      <w:rPr>
        <w:rFonts w:ascii="Garamond" w:hAnsi="Garamond" w:cs="Garamond" w:hint="default"/>
        <w:i w:val="0"/>
        <w:sz w:val="26"/>
        <w:lang w:val="en-US"/>
      </w:rPr>
    </w:lvl>
  </w:abstractNum>
  <w:abstractNum w:abstractNumId="3">
    <w:nsid w:val="00000009"/>
    <w:multiLevelType w:val="singleLevel"/>
    <w:tmpl w:val="00000009"/>
    <w:lvl w:ilvl="0">
      <w:start w:val="1"/>
      <w:numFmt w:val="lowerLetter"/>
      <w:lvlText w:val="%1)"/>
      <w:lvlJc w:val="left"/>
      <w:pPr>
        <w:tabs>
          <w:tab w:val="num" w:pos="491"/>
        </w:tabs>
        <w:ind w:left="1211" w:hanging="360"/>
      </w:pPr>
      <w:rPr>
        <w:rFonts w:ascii="Garamond" w:hAnsi="Garamond" w:cs="Garamond" w:hint="default"/>
        <w:sz w:val="26"/>
        <w:lang w:val="en-US"/>
      </w:rPr>
    </w:lvl>
  </w:abstractNum>
  <w:abstractNum w:abstractNumId="4">
    <w:nsid w:val="01FA152F"/>
    <w:multiLevelType w:val="hybridMultilevel"/>
    <w:tmpl w:val="2F82D822"/>
    <w:lvl w:ilvl="0" w:tplc="00F066BE">
      <w:start w:val="1"/>
      <w:numFmt w:val="lowerLetter"/>
      <w:lvlText w:val="(%1)"/>
      <w:lvlJc w:val="left"/>
      <w:pPr>
        <w:ind w:left="1080" w:hanging="360"/>
      </w:pPr>
      <w:rPr>
        <w:rFonts w:hint="default"/>
      </w:rPr>
    </w:lvl>
    <w:lvl w:ilvl="1" w:tplc="43B0034E">
      <w:start w:val="1"/>
      <w:numFmt w:val="bullet"/>
      <w:lvlText w:val="-"/>
      <w:lvlJc w:val="left"/>
      <w:pPr>
        <w:ind w:left="1494" w:hanging="360"/>
      </w:pPr>
      <w:rPr>
        <w:rFonts w:ascii="Calibri" w:eastAsiaTheme="minorHAnsi" w:hAnsi="Calibri" w:cstheme="minorBidi" w:hint="default"/>
      </w:rPr>
    </w:lvl>
    <w:lvl w:ilvl="2" w:tplc="46B27D3E">
      <w:start w:val="1"/>
      <w:numFmt w:val="decimal"/>
      <w:lvlText w:val="%3."/>
      <w:lvlJc w:val="left"/>
      <w:pPr>
        <w:ind w:left="2700" w:hanging="360"/>
      </w:pPr>
      <w:rPr>
        <w:rFonts w:hint="default"/>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A60560"/>
    <w:multiLevelType w:val="hybridMultilevel"/>
    <w:tmpl w:val="F0DCC6EC"/>
    <w:lvl w:ilvl="0" w:tplc="00000006">
      <w:start w:val="1"/>
      <w:numFmt w:val="lowerLetter"/>
      <w:lvlText w:val="%1)"/>
      <w:lvlJc w:val="left"/>
      <w:pPr>
        <w:ind w:left="1080" w:hanging="360"/>
      </w:pPr>
      <w:rPr>
        <w:rFonts w:ascii="Garamond" w:eastAsia="SimSun" w:hAnsi="Garamond" w:cs="Garamond" w:hint="default"/>
        <w:sz w:val="26"/>
        <w:szCs w:val="26"/>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E835AF"/>
    <w:multiLevelType w:val="hybridMultilevel"/>
    <w:tmpl w:val="C59EBD88"/>
    <w:name w:val="WW8Num72"/>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C61CB"/>
    <w:multiLevelType w:val="hybridMultilevel"/>
    <w:tmpl w:val="E7F2ED5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nsid w:val="12283ADB"/>
    <w:multiLevelType w:val="hybridMultilevel"/>
    <w:tmpl w:val="58DA3514"/>
    <w:lvl w:ilvl="0" w:tplc="00000006">
      <w:start w:val="1"/>
      <w:numFmt w:val="lowerLetter"/>
      <w:lvlText w:val="%1)"/>
      <w:lvlJc w:val="left"/>
      <w:pPr>
        <w:ind w:left="1069" w:hanging="360"/>
      </w:pPr>
      <w:rPr>
        <w:rFonts w:ascii="Garamond" w:eastAsia="SimSun" w:hAnsi="Garamond" w:cs="Garamond" w:hint="default"/>
        <w:sz w:val="26"/>
        <w:szCs w:val="26"/>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7827D84"/>
    <w:multiLevelType w:val="hybridMultilevel"/>
    <w:tmpl w:val="C6F66D3A"/>
    <w:lvl w:ilvl="0" w:tplc="AE88247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0518D"/>
    <w:multiLevelType w:val="hybridMultilevel"/>
    <w:tmpl w:val="B98CD68E"/>
    <w:lvl w:ilvl="0" w:tplc="B8CE6B1E">
      <w:start w:val="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D6891"/>
    <w:multiLevelType w:val="hybridMultilevel"/>
    <w:tmpl w:val="BE3CA912"/>
    <w:lvl w:ilvl="0" w:tplc="11F68582">
      <w:start w:val="2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6577C"/>
    <w:multiLevelType w:val="hybridMultilevel"/>
    <w:tmpl w:val="A1BADB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D91C72"/>
    <w:multiLevelType w:val="hybridMultilevel"/>
    <w:tmpl w:val="D780EE82"/>
    <w:lvl w:ilvl="0" w:tplc="91AE489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E6712"/>
    <w:multiLevelType w:val="hybridMultilevel"/>
    <w:tmpl w:val="04A81BC0"/>
    <w:lvl w:ilvl="0" w:tplc="90C8B55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84EBA"/>
    <w:multiLevelType w:val="hybridMultilevel"/>
    <w:tmpl w:val="FBF8FA66"/>
    <w:lvl w:ilvl="0" w:tplc="7D3607C0">
      <w:start w:val="1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8103C"/>
    <w:multiLevelType w:val="hybridMultilevel"/>
    <w:tmpl w:val="1320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E6530"/>
    <w:multiLevelType w:val="hybridMultilevel"/>
    <w:tmpl w:val="74C8889C"/>
    <w:lvl w:ilvl="0" w:tplc="89C24F7A">
      <w:start w:val="1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257EA"/>
    <w:multiLevelType w:val="hybridMultilevel"/>
    <w:tmpl w:val="5CE662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C963EE3"/>
    <w:multiLevelType w:val="hybridMultilevel"/>
    <w:tmpl w:val="D758FE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D52DC0"/>
    <w:multiLevelType w:val="hybridMultilevel"/>
    <w:tmpl w:val="1CA0A71E"/>
    <w:lvl w:ilvl="0" w:tplc="D144AA4A">
      <w:start w:val="15"/>
      <w:numFmt w:val="decimal"/>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32BE686D"/>
    <w:multiLevelType w:val="hybridMultilevel"/>
    <w:tmpl w:val="85604E48"/>
    <w:lvl w:ilvl="0" w:tplc="A2426EC4">
      <w:start w:val="1"/>
      <w:numFmt w:val="lowerRoman"/>
      <w:lvlText w:val="(%1)"/>
      <w:lvlJc w:val="left"/>
      <w:pPr>
        <w:ind w:left="1069" w:hanging="360"/>
      </w:pPr>
      <w:rPr>
        <w:rFonts w:ascii="Garamond" w:eastAsiaTheme="minorHAnsi" w:hAnsi="Garamond"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2E3693C"/>
    <w:multiLevelType w:val="hybridMultilevel"/>
    <w:tmpl w:val="CF8482C4"/>
    <w:name w:val="WW8Num922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3">
    <w:nsid w:val="33A32179"/>
    <w:multiLevelType w:val="hybridMultilevel"/>
    <w:tmpl w:val="C1CEA4E8"/>
    <w:lvl w:ilvl="0" w:tplc="6D12D19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B377C8"/>
    <w:multiLevelType w:val="hybridMultilevel"/>
    <w:tmpl w:val="F400424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366E4B39"/>
    <w:multiLevelType w:val="hybridMultilevel"/>
    <w:tmpl w:val="C0A40728"/>
    <w:lvl w:ilvl="0" w:tplc="04090017">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36CF5590"/>
    <w:multiLevelType w:val="hybridMultilevel"/>
    <w:tmpl w:val="20325EE8"/>
    <w:lvl w:ilvl="0" w:tplc="00000006">
      <w:start w:val="1"/>
      <w:numFmt w:val="lowerLetter"/>
      <w:lvlText w:val="%1)"/>
      <w:lvlJc w:val="left"/>
      <w:pPr>
        <w:ind w:left="1004" w:hanging="360"/>
      </w:pPr>
      <w:rPr>
        <w:rFonts w:ascii="Garamond" w:hAnsi="Garamond" w:cs="Garamond" w:hint="default"/>
        <w:sz w:val="26"/>
        <w:lang w:val="en-U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4352FF28">
      <w:start w:val="1"/>
      <w:numFmt w:val="decimal"/>
      <w:lvlText w:val="%4."/>
      <w:lvlJc w:val="left"/>
      <w:pPr>
        <w:ind w:left="360" w:hanging="360"/>
      </w:pPr>
      <w:rPr>
        <w:rFonts w:hint="default"/>
      </w:r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385D01E6"/>
    <w:multiLevelType w:val="hybridMultilevel"/>
    <w:tmpl w:val="1AF8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C357A9"/>
    <w:multiLevelType w:val="hybridMultilevel"/>
    <w:tmpl w:val="854AE4FC"/>
    <w:lvl w:ilvl="0" w:tplc="93D25B00">
      <w:numFmt w:val="bullet"/>
      <w:lvlText w:val="-"/>
      <w:lvlJc w:val="left"/>
      <w:pPr>
        <w:ind w:left="720" w:hanging="360"/>
      </w:pPr>
      <w:rPr>
        <w:rFonts w:ascii="Garamond" w:eastAsiaTheme="minorHAnsi" w:hAnsi="Garamond" w:cs="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2AC0738"/>
    <w:multiLevelType w:val="hybridMultilevel"/>
    <w:tmpl w:val="16FC4374"/>
    <w:lvl w:ilvl="0" w:tplc="F7089380">
      <w:numFmt w:val="bullet"/>
      <w:lvlText w:val="•"/>
      <w:lvlJc w:val="left"/>
      <w:pPr>
        <w:ind w:left="1080" w:hanging="720"/>
      </w:pPr>
      <w:rPr>
        <w:rFonts w:ascii="Century" w:eastAsiaTheme="minorHAnsi"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B83C7A"/>
    <w:multiLevelType w:val="hybridMultilevel"/>
    <w:tmpl w:val="6F8EF616"/>
    <w:lvl w:ilvl="0" w:tplc="4D5650E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C04615"/>
    <w:multiLevelType w:val="hybridMultilevel"/>
    <w:tmpl w:val="C28E6558"/>
    <w:name w:val="WW8Num92"/>
    <w:lvl w:ilvl="0" w:tplc="6802A586">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DF5E52"/>
    <w:multiLevelType w:val="hybridMultilevel"/>
    <w:tmpl w:val="7AE40160"/>
    <w:name w:val="WW8Num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622616"/>
    <w:multiLevelType w:val="hybridMultilevel"/>
    <w:tmpl w:val="C7467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FCD26BA"/>
    <w:multiLevelType w:val="hybridMultilevel"/>
    <w:tmpl w:val="7220D930"/>
    <w:lvl w:ilvl="0" w:tplc="4352FF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10266E"/>
    <w:multiLevelType w:val="hybridMultilevel"/>
    <w:tmpl w:val="1710238C"/>
    <w:lvl w:ilvl="0" w:tplc="90C8B55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880E77"/>
    <w:multiLevelType w:val="hybridMultilevel"/>
    <w:tmpl w:val="613C96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2F72092"/>
    <w:multiLevelType w:val="hybridMultilevel"/>
    <w:tmpl w:val="6F184EE2"/>
    <w:lvl w:ilvl="0" w:tplc="1BA4B030">
      <w:start w:val="10"/>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8B76CB"/>
    <w:multiLevelType w:val="hybridMultilevel"/>
    <w:tmpl w:val="DA4C39CE"/>
    <w:lvl w:ilvl="0" w:tplc="F518309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513A3D"/>
    <w:multiLevelType w:val="hybridMultilevel"/>
    <w:tmpl w:val="CB646E0C"/>
    <w:lvl w:ilvl="0" w:tplc="10AA887E">
      <w:start w:val="2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2F3C1B"/>
    <w:multiLevelType w:val="hybridMultilevel"/>
    <w:tmpl w:val="95F2D0C6"/>
    <w:lvl w:ilvl="0" w:tplc="5ACCA5D0">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5786832"/>
    <w:multiLevelType w:val="hybridMultilevel"/>
    <w:tmpl w:val="1C2ADE16"/>
    <w:lvl w:ilvl="0" w:tplc="316E9D08">
      <w:start w:val="4"/>
      <w:numFmt w:val="decimal"/>
      <w:lvlText w:val="%1."/>
      <w:lvlJc w:val="left"/>
      <w:pPr>
        <w:ind w:left="360" w:hanging="360"/>
      </w:pPr>
      <w:rPr>
        <w:rFonts w:hint="default"/>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nsid w:val="6B946B12"/>
    <w:multiLevelType w:val="hybridMultilevel"/>
    <w:tmpl w:val="98E043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D506300"/>
    <w:multiLevelType w:val="hybridMultilevel"/>
    <w:tmpl w:val="A3CC6088"/>
    <w:lvl w:ilvl="0" w:tplc="4352FF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B83B7F"/>
    <w:multiLevelType w:val="hybridMultilevel"/>
    <w:tmpl w:val="F8267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7845BDE"/>
    <w:multiLevelType w:val="hybridMultilevel"/>
    <w:tmpl w:val="1904190A"/>
    <w:lvl w:ilvl="0" w:tplc="D1B22EDA">
      <w:start w:val="13"/>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83571E"/>
    <w:multiLevelType w:val="hybridMultilevel"/>
    <w:tmpl w:val="FD6E0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6"/>
  </w:num>
  <w:num w:numId="3">
    <w:abstractNumId w:val="7"/>
  </w:num>
  <w:num w:numId="4">
    <w:abstractNumId w:val="29"/>
  </w:num>
  <w:num w:numId="5">
    <w:abstractNumId w:val="13"/>
  </w:num>
  <w:num w:numId="6">
    <w:abstractNumId w:val="23"/>
  </w:num>
  <w:num w:numId="7">
    <w:abstractNumId w:val="9"/>
  </w:num>
  <w:num w:numId="8">
    <w:abstractNumId w:val="6"/>
  </w:num>
  <w:num w:numId="9">
    <w:abstractNumId w:val="16"/>
  </w:num>
  <w:num w:numId="10">
    <w:abstractNumId w:val="17"/>
  </w:num>
  <w:num w:numId="11">
    <w:abstractNumId w:val="25"/>
  </w:num>
  <w:num w:numId="12">
    <w:abstractNumId w:val="4"/>
  </w:num>
  <w:num w:numId="13">
    <w:abstractNumId w:val="8"/>
  </w:num>
  <w:num w:numId="14">
    <w:abstractNumId w:val="5"/>
  </w:num>
  <w:num w:numId="15">
    <w:abstractNumId w:val="41"/>
  </w:num>
  <w:num w:numId="16">
    <w:abstractNumId w:val="36"/>
  </w:num>
  <w:num w:numId="17">
    <w:abstractNumId w:val="12"/>
  </w:num>
  <w:num w:numId="18">
    <w:abstractNumId w:val="30"/>
  </w:num>
  <w:num w:numId="19">
    <w:abstractNumId w:val="44"/>
  </w:num>
  <w:num w:numId="20">
    <w:abstractNumId w:val="42"/>
  </w:num>
  <w:num w:numId="21">
    <w:abstractNumId w:val="46"/>
  </w:num>
  <w:num w:numId="22">
    <w:abstractNumId w:val="34"/>
  </w:num>
  <w:num w:numId="23">
    <w:abstractNumId w:val="43"/>
  </w:num>
  <w:num w:numId="24">
    <w:abstractNumId w:val="21"/>
  </w:num>
  <w:num w:numId="25">
    <w:abstractNumId w:val="40"/>
  </w:num>
  <w:num w:numId="26">
    <w:abstractNumId w:val="19"/>
  </w:num>
  <w:num w:numId="27">
    <w:abstractNumId w:val="27"/>
  </w:num>
  <w:num w:numId="28">
    <w:abstractNumId w:val="18"/>
  </w:num>
  <w:num w:numId="29">
    <w:abstractNumId w:val="33"/>
  </w:num>
  <w:num w:numId="30">
    <w:abstractNumId w:val="10"/>
  </w:num>
  <w:num w:numId="31">
    <w:abstractNumId w:val="14"/>
  </w:num>
  <w:num w:numId="32">
    <w:abstractNumId w:val="35"/>
  </w:num>
  <w:num w:numId="33">
    <w:abstractNumId w:val="24"/>
  </w:num>
  <w:num w:numId="34">
    <w:abstractNumId w:val="38"/>
  </w:num>
  <w:num w:numId="35">
    <w:abstractNumId w:val="37"/>
  </w:num>
  <w:num w:numId="36">
    <w:abstractNumId w:val="15"/>
  </w:num>
  <w:num w:numId="37">
    <w:abstractNumId w:val="39"/>
  </w:num>
  <w:num w:numId="38">
    <w:abstractNumId w:val="11"/>
  </w:num>
  <w:num w:numId="39">
    <w:abstractNumId w:val="45"/>
  </w:num>
  <w:num w:numId="40">
    <w:abstractNumId w:val="20"/>
  </w:num>
  <w:num w:numId="41">
    <w:abstractNumId w:val="2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ca Clara Villata">
    <w15:presenceInfo w15:providerId="Windows Live" w15:userId="fe76bd0771488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54VMPra9oOKn8wX0oeC4rOGsllI=" w:salt="Te+byXgWkV5JSOjrudTyjw=="/>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61"/>
    <w:rsid w:val="00005644"/>
    <w:rsid w:val="00012A85"/>
    <w:rsid w:val="00016E69"/>
    <w:rsid w:val="000437F1"/>
    <w:rsid w:val="0004725A"/>
    <w:rsid w:val="00050432"/>
    <w:rsid w:val="000559DF"/>
    <w:rsid w:val="00063738"/>
    <w:rsid w:val="00070E65"/>
    <w:rsid w:val="000804BD"/>
    <w:rsid w:val="000B28E2"/>
    <w:rsid w:val="000D1B0F"/>
    <w:rsid w:val="000E59FA"/>
    <w:rsid w:val="000F33EA"/>
    <w:rsid w:val="00110A01"/>
    <w:rsid w:val="00111DDB"/>
    <w:rsid w:val="00116FEE"/>
    <w:rsid w:val="00124F96"/>
    <w:rsid w:val="00126ECF"/>
    <w:rsid w:val="00134105"/>
    <w:rsid w:val="00134358"/>
    <w:rsid w:val="00137AA0"/>
    <w:rsid w:val="00146613"/>
    <w:rsid w:val="00152EA4"/>
    <w:rsid w:val="00153586"/>
    <w:rsid w:val="001761A5"/>
    <w:rsid w:val="00192939"/>
    <w:rsid w:val="0019671F"/>
    <w:rsid w:val="001A46FF"/>
    <w:rsid w:val="001A4D39"/>
    <w:rsid w:val="001A6D63"/>
    <w:rsid w:val="001B1858"/>
    <w:rsid w:val="001B314E"/>
    <w:rsid w:val="001B435B"/>
    <w:rsid w:val="001C5C88"/>
    <w:rsid w:val="001F1860"/>
    <w:rsid w:val="001F3C99"/>
    <w:rsid w:val="001F4413"/>
    <w:rsid w:val="001F7071"/>
    <w:rsid w:val="00201847"/>
    <w:rsid w:val="002110D9"/>
    <w:rsid w:val="00211318"/>
    <w:rsid w:val="00217FF5"/>
    <w:rsid w:val="00230296"/>
    <w:rsid w:val="0023450C"/>
    <w:rsid w:val="002361EA"/>
    <w:rsid w:val="002427E9"/>
    <w:rsid w:val="00257FF0"/>
    <w:rsid w:val="00271460"/>
    <w:rsid w:val="002B0A18"/>
    <w:rsid w:val="002B78C3"/>
    <w:rsid w:val="002C6D9A"/>
    <w:rsid w:val="002E74E4"/>
    <w:rsid w:val="002F10D8"/>
    <w:rsid w:val="002F3195"/>
    <w:rsid w:val="002F75BF"/>
    <w:rsid w:val="00301042"/>
    <w:rsid w:val="00302E85"/>
    <w:rsid w:val="00304665"/>
    <w:rsid w:val="00305F0C"/>
    <w:rsid w:val="003060F2"/>
    <w:rsid w:val="0030680A"/>
    <w:rsid w:val="00315723"/>
    <w:rsid w:val="003269DF"/>
    <w:rsid w:val="00327C57"/>
    <w:rsid w:val="003411D2"/>
    <w:rsid w:val="00355B87"/>
    <w:rsid w:val="003879F1"/>
    <w:rsid w:val="003940B8"/>
    <w:rsid w:val="003A4AFF"/>
    <w:rsid w:val="003A54E4"/>
    <w:rsid w:val="003C02D8"/>
    <w:rsid w:val="003E1096"/>
    <w:rsid w:val="0042428F"/>
    <w:rsid w:val="00430119"/>
    <w:rsid w:val="004542E2"/>
    <w:rsid w:val="00465687"/>
    <w:rsid w:val="00483F36"/>
    <w:rsid w:val="00484236"/>
    <w:rsid w:val="004940D7"/>
    <w:rsid w:val="00496866"/>
    <w:rsid w:val="004A7B7E"/>
    <w:rsid w:val="004B1BB7"/>
    <w:rsid w:val="004C10A8"/>
    <w:rsid w:val="004C3077"/>
    <w:rsid w:val="004E4E64"/>
    <w:rsid w:val="004F4EEE"/>
    <w:rsid w:val="005111E8"/>
    <w:rsid w:val="00511B58"/>
    <w:rsid w:val="00512280"/>
    <w:rsid w:val="005170F4"/>
    <w:rsid w:val="00525B2D"/>
    <w:rsid w:val="00532BB7"/>
    <w:rsid w:val="00533C27"/>
    <w:rsid w:val="005357E7"/>
    <w:rsid w:val="00537AAD"/>
    <w:rsid w:val="0055235D"/>
    <w:rsid w:val="00564C9F"/>
    <w:rsid w:val="00567C22"/>
    <w:rsid w:val="00570A84"/>
    <w:rsid w:val="0058599B"/>
    <w:rsid w:val="00586690"/>
    <w:rsid w:val="005964CD"/>
    <w:rsid w:val="005A2C55"/>
    <w:rsid w:val="005A3E4B"/>
    <w:rsid w:val="005A5192"/>
    <w:rsid w:val="005B0223"/>
    <w:rsid w:val="005B34CF"/>
    <w:rsid w:val="005C3781"/>
    <w:rsid w:val="005D2365"/>
    <w:rsid w:val="005D2AC5"/>
    <w:rsid w:val="005D580E"/>
    <w:rsid w:val="005E57BE"/>
    <w:rsid w:val="005E5BB1"/>
    <w:rsid w:val="00601042"/>
    <w:rsid w:val="00602E1C"/>
    <w:rsid w:val="00604242"/>
    <w:rsid w:val="00605323"/>
    <w:rsid w:val="00617838"/>
    <w:rsid w:val="00631366"/>
    <w:rsid w:val="00646233"/>
    <w:rsid w:val="00652BD4"/>
    <w:rsid w:val="00666E01"/>
    <w:rsid w:val="00692A11"/>
    <w:rsid w:val="006A06FC"/>
    <w:rsid w:val="006A5F59"/>
    <w:rsid w:val="006B0A0E"/>
    <w:rsid w:val="006B5D01"/>
    <w:rsid w:val="006B7C10"/>
    <w:rsid w:val="006D00DD"/>
    <w:rsid w:val="006D12B2"/>
    <w:rsid w:val="006D6E8F"/>
    <w:rsid w:val="006E3E7B"/>
    <w:rsid w:val="006F2862"/>
    <w:rsid w:val="00701B65"/>
    <w:rsid w:val="00703AC0"/>
    <w:rsid w:val="00714AC4"/>
    <w:rsid w:val="0071571C"/>
    <w:rsid w:val="0072333E"/>
    <w:rsid w:val="00724291"/>
    <w:rsid w:val="00727966"/>
    <w:rsid w:val="00741E16"/>
    <w:rsid w:val="00764019"/>
    <w:rsid w:val="007716EA"/>
    <w:rsid w:val="007802EC"/>
    <w:rsid w:val="007830F4"/>
    <w:rsid w:val="007837FC"/>
    <w:rsid w:val="007865B9"/>
    <w:rsid w:val="007907C6"/>
    <w:rsid w:val="007923A9"/>
    <w:rsid w:val="0079285D"/>
    <w:rsid w:val="00797B79"/>
    <w:rsid w:val="007A42F6"/>
    <w:rsid w:val="007A5444"/>
    <w:rsid w:val="007B5CE2"/>
    <w:rsid w:val="007D1571"/>
    <w:rsid w:val="007E0228"/>
    <w:rsid w:val="00806FF5"/>
    <w:rsid w:val="00807B1B"/>
    <w:rsid w:val="008115F6"/>
    <w:rsid w:val="008133E0"/>
    <w:rsid w:val="0082210E"/>
    <w:rsid w:val="00833447"/>
    <w:rsid w:val="00834A50"/>
    <w:rsid w:val="00847FD3"/>
    <w:rsid w:val="00854ED4"/>
    <w:rsid w:val="00857323"/>
    <w:rsid w:val="00857904"/>
    <w:rsid w:val="008617E8"/>
    <w:rsid w:val="008624C9"/>
    <w:rsid w:val="00874AFD"/>
    <w:rsid w:val="008754F5"/>
    <w:rsid w:val="00875B06"/>
    <w:rsid w:val="008811E7"/>
    <w:rsid w:val="0088244B"/>
    <w:rsid w:val="00890549"/>
    <w:rsid w:val="008A042C"/>
    <w:rsid w:val="008A3851"/>
    <w:rsid w:val="008A54C0"/>
    <w:rsid w:val="008A70D7"/>
    <w:rsid w:val="008B2653"/>
    <w:rsid w:val="008B4A49"/>
    <w:rsid w:val="008C0769"/>
    <w:rsid w:val="008C52A7"/>
    <w:rsid w:val="008D06FF"/>
    <w:rsid w:val="008E6FA5"/>
    <w:rsid w:val="00905A18"/>
    <w:rsid w:val="00911730"/>
    <w:rsid w:val="00921B7F"/>
    <w:rsid w:val="00923CBE"/>
    <w:rsid w:val="00936D9B"/>
    <w:rsid w:val="00954B1C"/>
    <w:rsid w:val="009551A8"/>
    <w:rsid w:val="00982F90"/>
    <w:rsid w:val="009B0424"/>
    <w:rsid w:val="009B14C2"/>
    <w:rsid w:val="009B70A1"/>
    <w:rsid w:val="009E43CD"/>
    <w:rsid w:val="009E6ADA"/>
    <w:rsid w:val="009F4BBD"/>
    <w:rsid w:val="009F65C8"/>
    <w:rsid w:val="00A04D40"/>
    <w:rsid w:val="00A05337"/>
    <w:rsid w:val="00A058B2"/>
    <w:rsid w:val="00A3432A"/>
    <w:rsid w:val="00A45348"/>
    <w:rsid w:val="00A52B15"/>
    <w:rsid w:val="00A54ECF"/>
    <w:rsid w:val="00A838BC"/>
    <w:rsid w:val="00A857E7"/>
    <w:rsid w:val="00A979C2"/>
    <w:rsid w:val="00AA3251"/>
    <w:rsid w:val="00AA6D5E"/>
    <w:rsid w:val="00AC3164"/>
    <w:rsid w:val="00AD4B31"/>
    <w:rsid w:val="00AD55D5"/>
    <w:rsid w:val="00AE3F6D"/>
    <w:rsid w:val="00B07777"/>
    <w:rsid w:val="00B10C24"/>
    <w:rsid w:val="00B27F83"/>
    <w:rsid w:val="00B563B3"/>
    <w:rsid w:val="00B64AA5"/>
    <w:rsid w:val="00B747D2"/>
    <w:rsid w:val="00B82A05"/>
    <w:rsid w:val="00B83B62"/>
    <w:rsid w:val="00B85D92"/>
    <w:rsid w:val="00B946AE"/>
    <w:rsid w:val="00BA06DC"/>
    <w:rsid w:val="00BB1D35"/>
    <w:rsid w:val="00BB25F0"/>
    <w:rsid w:val="00BD43CB"/>
    <w:rsid w:val="00BE11BE"/>
    <w:rsid w:val="00BE1A44"/>
    <w:rsid w:val="00BE52EF"/>
    <w:rsid w:val="00BF04D6"/>
    <w:rsid w:val="00BF5FC1"/>
    <w:rsid w:val="00BF7361"/>
    <w:rsid w:val="00C0615D"/>
    <w:rsid w:val="00C107D5"/>
    <w:rsid w:val="00C17067"/>
    <w:rsid w:val="00C303CB"/>
    <w:rsid w:val="00C360F0"/>
    <w:rsid w:val="00C5128D"/>
    <w:rsid w:val="00C51D02"/>
    <w:rsid w:val="00C57012"/>
    <w:rsid w:val="00C729AE"/>
    <w:rsid w:val="00C77BAA"/>
    <w:rsid w:val="00C85043"/>
    <w:rsid w:val="00C91C15"/>
    <w:rsid w:val="00C92E60"/>
    <w:rsid w:val="00CB119E"/>
    <w:rsid w:val="00CB5317"/>
    <w:rsid w:val="00CD2E6A"/>
    <w:rsid w:val="00CD70AB"/>
    <w:rsid w:val="00CD7CD8"/>
    <w:rsid w:val="00CF673C"/>
    <w:rsid w:val="00D03A66"/>
    <w:rsid w:val="00D11752"/>
    <w:rsid w:val="00D16A1B"/>
    <w:rsid w:val="00D46FAA"/>
    <w:rsid w:val="00D56EDE"/>
    <w:rsid w:val="00D6359E"/>
    <w:rsid w:val="00D63E52"/>
    <w:rsid w:val="00D70070"/>
    <w:rsid w:val="00D71CB7"/>
    <w:rsid w:val="00D8148E"/>
    <w:rsid w:val="00D81DDF"/>
    <w:rsid w:val="00D82E53"/>
    <w:rsid w:val="00D84D1F"/>
    <w:rsid w:val="00D86E2D"/>
    <w:rsid w:val="00D92E65"/>
    <w:rsid w:val="00D95118"/>
    <w:rsid w:val="00D96742"/>
    <w:rsid w:val="00DA2301"/>
    <w:rsid w:val="00DA4C05"/>
    <w:rsid w:val="00DD18AC"/>
    <w:rsid w:val="00DD5C69"/>
    <w:rsid w:val="00DD75CC"/>
    <w:rsid w:val="00DE029D"/>
    <w:rsid w:val="00DF34BB"/>
    <w:rsid w:val="00DF4BB5"/>
    <w:rsid w:val="00E04B68"/>
    <w:rsid w:val="00E1617A"/>
    <w:rsid w:val="00E25495"/>
    <w:rsid w:val="00E310A2"/>
    <w:rsid w:val="00E311CD"/>
    <w:rsid w:val="00E334CA"/>
    <w:rsid w:val="00E36F86"/>
    <w:rsid w:val="00E54F31"/>
    <w:rsid w:val="00E600CF"/>
    <w:rsid w:val="00E6129E"/>
    <w:rsid w:val="00E778DE"/>
    <w:rsid w:val="00E845A6"/>
    <w:rsid w:val="00E84FDC"/>
    <w:rsid w:val="00E86F9E"/>
    <w:rsid w:val="00E87DCA"/>
    <w:rsid w:val="00E940A1"/>
    <w:rsid w:val="00EA3000"/>
    <w:rsid w:val="00EA557D"/>
    <w:rsid w:val="00EB522C"/>
    <w:rsid w:val="00EC378A"/>
    <w:rsid w:val="00EC7919"/>
    <w:rsid w:val="00ED0501"/>
    <w:rsid w:val="00ED463B"/>
    <w:rsid w:val="00EE2F97"/>
    <w:rsid w:val="00EE557C"/>
    <w:rsid w:val="00F13D4B"/>
    <w:rsid w:val="00F14351"/>
    <w:rsid w:val="00F16E36"/>
    <w:rsid w:val="00F23464"/>
    <w:rsid w:val="00F24EAF"/>
    <w:rsid w:val="00F3441B"/>
    <w:rsid w:val="00F3503F"/>
    <w:rsid w:val="00F50B97"/>
    <w:rsid w:val="00F5614D"/>
    <w:rsid w:val="00F71811"/>
    <w:rsid w:val="00F72BC7"/>
    <w:rsid w:val="00F75602"/>
    <w:rsid w:val="00F85685"/>
    <w:rsid w:val="00FA2144"/>
    <w:rsid w:val="00FD21EC"/>
    <w:rsid w:val="00FD4B89"/>
    <w:rsid w:val="00FD5E64"/>
    <w:rsid w:val="00FE0B4E"/>
    <w:rsid w:val="00FF1DC7"/>
    <w:rsid w:val="00FF4099"/>
    <w:rsid w:val="00FF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3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1">
    <w:name w:val="heading 1"/>
    <w:basedOn w:val="Standard"/>
    <w:next w:val="Standard"/>
    <w:link w:val="berschrift1Zchn"/>
    <w:uiPriority w:val="9"/>
    <w:qFormat/>
    <w:rsid w:val="00CD7CD8"/>
    <w:pPr>
      <w:spacing w:before="120" w:after="120"/>
      <w:jc w:val="center"/>
      <w:outlineLvl w:val="0"/>
    </w:pPr>
    <w:rPr>
      <w:rFonts w:ascii="Garamond" w:hAnsi="Garamond" w:cs="Arial"/>
      <w:smallCaps/>
      <w:color w:val="000000"/>
      <w:sz w:val="36"/>
      <w:szCs w:val="24"/>
    </w:rPr>
  </w:style>
  <w:style w:type="paragraph" w:styleId="berschrift2">
    <w:name w:val="heading 2"/>
    <w:basedOn w:val="Standard"/>
    <w:next w:val="Standard"/>
    <w:link w:val="berschrift2Zchn"/>
    <w:uiPriority w:val="9"/>
    <w:unhideWhenUsed/>
    <w:qFormat/>
    <w:rsid w:val="00CD7CD8"/>
    <w:pPr>
      <w:keepNext/>
      <w:keepLines/>
      <w:spacing w:before="120" w:after="120"/>
      <w:jc w:val="center"/>
      <w:outlineLvl w:val="1"/>
    </w:pPr>
    <w:rPr>
      <w:rFonts w:ascii="Garamond" w:eastAsiaTheme="majorEastAsia" w:hAnsi="Garamond" w:cstheme="majorBidi"/>
      <w:b/>
      <w:bCs/>
      <w:sz w:val="28"/>
      <w:szCs w:val="24"/>
      <w:lang w:val="en-GB"/>
    </w:rPr>
  </w:style>
  <w:style w:type="paragraph" w:styleId="berschrift3">
    <w:name w:val="heading 3"/>
    <w:basedOn w:val="berschrift2"/>
    <w:next w:val="Standard"/>
    <w:link w:val="berschrift3Zchn"/>
    <w:uiPriority w:val="9"/>
    <w:unhideWhenUsed/>
    <w:qFormat/>
    <w:rsid w:val="00CD7CD8"/>
    <w:pPr>
      <w:jc w:val="both"/>
      <w:outlineLvl w:val="2"/>
    </w:pPr>
    <w:rPr>
      <w:b w:val="0"/>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617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1617A"/>
  </w:style>
  <w:style w:type="paragraph" w:styleId="Fuzeile">
    <w:name w:val="footer"/>
    <w:basedOn w:val="Standard"/>
    <w:link w:val="FuzeileZchn"/>
    <w:uiPriority w:val="99"/>
    <w:unhideWhenUsed/>
    <w:rsid w:val="00E1617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1617A"/>
  </w:style>
  <w:style w:type="paragraph" w:styleId="Funotentext">
    <w:name w:val="footnote text"/>
    <w:basedOn w:val="Standard"/>
    <w:link w:val="FunotentextZchn"/>
    <w:uiPriority w:val="99"/>
    <w:unhideWhenUsed/>
    <w:rsid w:val="00E1617A"/>
    <w:pPr>
      <w:widowControl/>
      <w:spacing w:after="0" w:line="240" w:lineRule="auto"/>
    </w:pPr>
    <w:rPr>
      <w:sz w:val="20"/>
      <w:szCs w:val="20"/>
    </w:rPr>
  </w:style>
  <w:style w:type="character" w:customStyle="1" w:styleId="FunotentextZchn">
    <w:name w:val="Fußnotentext Zchn"/>
    <w:basedOn w:val="Absatz-Standardschriftart"/>
    <w:link w:val="Funotentext"/>
    <w:uiPriority w:val="99"/>
    <w:rsid w:val="00E1617A"/>
    <w:rPr>
      <w:sz w:val="20"/>
      <w:szCs w:val="20"/>
    </w:rPr>
  </w:style>
  <w:style w:type="character" w:styleId="Funotenzeichen">
    <w:name w:val="footnote reference"/>
    <w:aliases w:val="fr,Footnote Refernece,BVI fnr,callout,16 Point,Superscript 6 Point,Footnote Reference Superscript,Ref,de nota al pie,-E Fußnotenzeichen,number,SUPERS,EN Footnote Reference,-E Fuﬂnotenzeichen,-E Fuûnotenzeichen"/>
    <w:basedOn w:val="Absatz-Standardschriftart"/>
    <w:uiPriority w:val="99"/>
    <w:semiHidden/>
    <w:unhideWhenUsed/>
    <w:rsid w:val="00E1617A"/>
    <w:rPr>
      <w:vertAlign w:val="superscript"/>
    </w:rPr>
  </w:style>
  <w:style w:type="paragraph" w:styleId="Sprechblasentext">
    <w:name w:val="Balloon Text"/>
    <w:basedOn w:val="Standard"/>
    <w:link w:val="SprechblasentextZchn"/>
    <w:uiPriority w:val="99"/>
    <w:semiHidden/>
    <w:unhideWhenUsed/>
    <w:rsid w:val="007A54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5444"/>
    <w:rPr>
      <w:rFonts w:ascii="Tahoma" w:hAnsi="Tahoma" w:cs="Tahoma"/>
      <w:sz w:val="16"/>
      <w:szCs w:val="16"/>
    </w:rPr>
  </w:style>
  <w:style w:type="character" w:styleId="Platzhaltertext">
    <w:name w:val="Placeholder Text"/>
    <w:basedOn w:val="Absatz-Standardschriftart"/>
    <w:uiPriority w:val="99"/>
    <w:semiHidden/>
    <w:rsid w:val="00570A84"/>
    <w:rPr>
      <w:color w:val="808080"/>
    </w:rPr>
  </w:style>
  <w:style w:type="character" w:customStyle="1" w:styleId="berschrift1Zchn">
    <w:name w:val="Überschrift 1 Zchn"/>
    <w:basedOn w:val="Absatz-Standardschriftart"/>
    <w:link w:val="berschrift1"/>
    <w:uiPriority w:val="9"/>
    <w:rsid w:val="00CD7CD8"/>
    <w:rPr>
      <w:rFonts w:ascii="Garamond" w:hAnsi="Garamond" w:cs="Arial"/>
      <w:smallCaps/>
      <w:color w:val="000000"/>
      <w:sz w:val="36"/>
      <w:szCs w:val="24"/>
    </w:rPr>
  </w:style>
  <w:style w:type="paragraph" w:styleId="Listenabsatz">
    <w:name w:val="List Paragraph"/>
    <w:basedOn w:val="Standard"/>
    <w:uiPriority w:val="34"/>
    <w:qFormat/>
    <w:rsid w:val="00D82E53"/>
    <w:pPr>
      <w:widowControl/>
      <w:spacing w:before="60" w:after="0" w:line="312" w:lineRule="auto"/>
      <w:ind w:left="720"/>
      <w:contextualSpacing/>
      <w:jc w:val="both"/>
    </w:pPr>
    <w:rPr>
      <w:rFonts w:ascii="Garamond" w:eastAsia="MS Mincho" w:hAnsi="Garamond"/>
      <w:lang w:val="de-DE"/>
    </w:rPr>
  </w:style>
  <w:style w:type="character" w:customStyle="1" w:styleId="berschrift2Zchn">
    <w:name w:val="Überschrift 2 Zchn"/>
    <w:basedOn w:val="Absatz-Standardschriftart"/>
    <w:link w:val="berschrift2"/>
    <w:uiPriority w:val="9"/>
    <w:rsid w:val="00CD7CD8"/>
    <w:rPr>
      <w:rFonts w:ascii="Garamond" w:eastAsiaTheme="majorEastAsia" w:hAnsi="Garamond" w:cstheme="majorBidi"/>
      <w:b/>
      <w:bCs/>
      <w:sz w:val="28"/>
      <w:szCs w:val="24"/>
      <w:lang w:val="en-GB"/>
    </w:rPr>
  </w:style>
  <w:style w:type="character" w:styleId="Fett">
    <w:name w:val="Strong"/>
    <w:qFormat/>
    <w:rsid w:val="00911730"/>
    <w:rPr>
      <w:b/>
      <w:bCs/>
    </w:rPr>
  </w:style>
  <w:style w:type="character" w:customStyle="1" w:styleId="berschrift3Zchn">
    <w:name w:val="Überschrift 3 Zchn"/>
    <w:basedOn w:val="Absatz-Standardschriftart"/>
    <w:link w:val="berschrift3"/>
    <w:uiPriority w:val="9"/>
    <w:rsid w:val="00CD7CD8"/>
    <w:rPr>
      <w:rFonts w:ascii="Garamond" w:eastAsiaTheme="majorEastAsia" w:hAnsi="Garamond" w:cstheme="majorBidi"/>
      <w:bCs/>
      <w:i/>
      <w:sz w:val="28"/>
      <w:szCs w:val="24"/>
      <w:lang w:val="en-GB"/>
    </w:rPr>
  </w:style>
  <w:style w:type="character" w:styleId="Kommentarzeichen">
    <w:name w:val="annotation reference"/>
    <w:basedOn w:val="Absatz-Standardschriftart"/>
    <w:uiPriority w:val="99"/>
    <w:semiHidden/>
    <w:unhideWhenUsed/>
    <w:rsid w:val="00E86F9E"/>
    <w:rPr>
      <w:sz w:val="16"/>
      <w:szCs w:val="16"/>
    </w:rPr>
  </w:style>
  <w:style w:type="paragraph" w:styleId="Kommentartext">
    <w:name w:val="annotation text"/>
    <w:basedOn w:val="Standard"/>
    <w:link w:val="KommentartextZchn"/>
    <w:uiPriority w:val="99"/>
    <w:semiHidden/>
    <w:unhideWhenUsed/>
    <w:rsid w:val="00E86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6F9E"/>
    <w:rPr>
      <w:sz w:val="20"/>
      <w:szCs w:val="20"/>
    </w:rPr>
  </w:style>
  <w:style w:type="paragraph" w:styleId="Kommentarthema">
    <w:name w:val="annotation subject"/>
    <w:basedOn w:val="Kommentartext"/>
    <w:next w:val="Kommentartext"/>
    <w:link w:val="KommentarthemaZchn"/>
    <w:uiPriority w:val="99"/>
    <w:semiHidden/>
    <w:unhideWhenUsed/>
    <w:rsid w:val="00E86F9E"/>
    <w:rPr>
      <w:b/>
      <w:bCs/>
    </w:rPr>
  </w:style>
  <w:style w:type="character" w:customStyle="1" w:styleId="KommentarthemaZchn">
    <w:name w:val="Kommentarthema Zchn"/>
    <w:basedOn w:val="KommentartextZchn"/>
    <w:link w:val="Kommentarthema"/>
    <w:uiPriority w:val="99"/>
    <w:semiHidden/>
    <w:rsid w:val="00E86F9E"/>
    <w:rPr>
      <w:b/>
      <w:bCs/>
      <w:sz w:val="20"/>
      <w:szCs w:val="20"/>
    </w:rPr>
  </w:style>
  <w:style w:type="character" w:styleId="Hyperlink">
    <w:name w:val="Hyperlink"/>
    <w:basedOn w:val="Absatz-Standardschriftart"/>
    <w:uiPriority w:val="99"/>
    <w:unhideWhenUsed/>
    <w:rsid w:val="00CD7C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paragraph" w:styleId="berschrift1">
    <w:name w:val="heading 1"/>
    <w:basedOn w:val="Standard"/>
    <w:next w:val="Standard"/>
    <w:link w:val="berschrift1Zchn"/>
    <w:uiPriority w:val="9"/>
    <w:qFormat/>
    <w:rsid w:val="00CD7CD8"/>
    <w:pPr>
      <w:spacing w:before="120" w:after="120"/>
      <w:jc w:val="center"/>
      <w:outlineLvl w:val="0"/>
    </w:pPr>
    <w:rPr>
      <w:rFonts w:ascii="Garamond" w:hAnsi="Garamond" w:cs="Arial"/>
      <w:smallCaps/>
      <w:color w:val="000000"/>
      <w:sz w:val="36"/>
      <w:szCs w:val="24"/>
    </w:rPr>
  </w:style>
  <w:style w:type="paragraph" w:styleId="berschrift2">
    <w:name w:val="heading 2"/>
    <w:basedOn w:val="Standard"/>
    <w:next w:val="Standard"/>
    <w:link w:val="berschrift2Zchn"/>
    <w:uiPriority w:val="9"/>
    <w:unhideWhenUsed/>
    <w:qFormat/>
    <w:rsid w:val="00CD7CD8"/>
    <w:pPr>
      <w:keepNext/>
      <w:keepLines/>
      <w:spacing w:before="120" w:after="120"/>
      <w:jc w:val="center"/>
      <w:outlineLvl w:val="1"/>
    </w:pPr>
    <w:rPr>
      <w:rFonts w:ascii="Garamond" w:eastAsiaTheme="majorEastAsia" w:hAnsi="Garamond" w:cstheme="majorBidi"/>
      <w:b/>
      <w:bCs/>
      <w:sz w:val="28"/>
      <w:szCs w:val="24"/>
      <w:lang w:val="en-GB"/>
    </w:rPr>
  </w:style>
  <w:style w:type="paragraph" w:styleId="berschrift3">
    <w:name w:val="heading 3"/>
    <w:basedOn w:val="berschrift2"/>
    <w:next w:val="Standard"/>
    <w:link w:val="berschrift3Zchn"/>
    <w:uiPriority w:val="9"/>
    <w:unhideWhenUsed/>
    <w:qFormat/>
    <w:rsid w:val="00CD7CD8"/>
    <w:pPr>
      <w:jc w:val="both"/>
      <w:outlineLvl w:val="2"/>
    </w:pPr>
    <w:rPr>
      <w:b w:val="0"/>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617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E1617A"/>
  </w:style>
  <w:style w:type="paragraph" w:styleId="Fuzeile">
    <w:name w:val="footer"/>
    <w:basedOn w:val="Standard"/>
    <w:link w:val="FuzeileZchn"/>
    <w:uiPriority w:val="99"/>
    <w:unhideWhenUsed/>
    <w:rsid w:val="00E1617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E1617A"/>
  </w:style>
  <w:style w:type="paragraph" w:styleId="Funotentext">
    <w:name w:val="footnote text"/>
    <w:basedOn w:val="Standard"/>
    <w:link w:val="FunotentextZchn"/>
    <w:uiPriority w:val="99"/>
    <w:unhideWhenUsed/>
    <w:rsid w:val="00E1617A"/>
    <w:pPr>
      <w:widowControl/>
      <w:spacing w:after="0" w:line="240" w:lineRule="auto"/>
    </w:pPr>
    <w:rPr>
      <w:sz w:val="20"/>
      <w:szCs w:val="20"/>
    </w:rPr>
  </w:style>
  <w:style w:type="character" w:customStyle="1" w:styleId="FunotentextZchn">
    <w:name w:val="Fußnotentext Zchn"/>
    <w:basedOn w:val="Absatz-Standardschriftart"/>
    <w:link w:val="Funotentext"/>
    <w:uiPriority w:val="99"/>
    <w:rsid w:val="00E1617A"/>
    <w:rPr>
      <w:sz w:val="20"/>
      <w:szCs w:val="20"/>
    </w:rPr>
  </w:style>
  <w:style w:type="character" w:styleId="Funotenzeichen">
    <w:name w:val="footnote reference"/>
    <w:aliases w:val="fr,Footnote Refernece,BVI fnr,callout,16 Point,Superscript 6 Point,Footnote Reference Superscript,Ref,de nota al pie,-E Fußnotenzeichen,number,SUPERS,EN Footnote Reference,-E Fuﬂnotenzeichen,-E Fuûnotenzeichen"/>
    <w:basedOn w:val="Absatz-Standardschriftart"/>
    <w:uiPriority w:val="99"/>
    <w:semiHidden/>
    <w:unhideWhenUsed/>
    <w:rsid w:val="00E1617A"/>
    <w:rPr>
      <w:vertAlign w:val="superscript"/>
    </w:rPr>
  </w:style>
  <w:style w:type="paragraph" w:styleId="Sprechblasentext">
    <w:name w:val="Balloon Text"/>
    <w:basedOn w:val="Standard"/>
    <w:link w:val="SprechblasentextZchn"/>
    <w:uiPriority w:val="99"/>
    <w:semiHidden/>
    <w:unhideWhenUsed/>
    <w:rsid w:val="007A54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5444"/>
    <w:rPr>
      <w:rFonts w:ascii="Tahoma" w:hAnsi="Tahoma" w:cs="Tahoma"/>
      <w:sz w:val="16"/>
      <w:szCs w:val="16"/>
    </w:rPr>
  </w:style>
  <w:style w:type="character" w:styleId="Platzhaltertext">
    <w:name w:val="Placeholder Text"/>
    <w:basedOn w:val="Absatz-Standardschriftart"/>
    <w:uiPriority w:val="99"/>
    <w:semiHidden/>
    <w:rsid w:val="00570A84"/>
    <w:rPr>
      <w:color w:val="808080"/>
    </w:rPr>
  </w:style>
  <w:style w:type="character" w:customStyle="1" w:styleId="berschrift1Zchn">
    <w:name w:val="Überschrift 1 Zchn"/>
    <w:basedOn w:val="Absatz-Standardschriftart"/>
    <w:link w:val="berschrift1"/>
    <w:uiPriority w:val="9"/>
    <w:rsid w:val="00CD7CD8"/>
    <w:rPr>
      <w:rFonts w:ascii="Garamond" w:hAnsi="Garamond" w:cs="Arial"/>
      <w:smallCaps/>
      <w:color w:val="000000"/>
      <w:sz w:val="36"/>
      <w:szCs w:val="24"/>
    </w:rPr>
  </w:style>
  <w:style w:type="paragraph" w:styleId="Listenabsatz">
    <w:name w:val="List Paragraph"/>
    <w:basedOn w:val="Standard"/>
    <w:uiPriority w:val="34"/>
    <w:qFormat/>
    <w:rsid w:val="00D82E53"/>
    <w:pPr>
      <w:widowControl/>
      <w:spacing w:before="60" w:after="0" w:line="312" w:lineRule="auto"/>
      <w:ind w:left="720"/>
      <w:contextualSpacing/>
      <w:jc w:val="both"/>
    </w:pPr>
    <w:rPr>
      <w:rFonts w:ascii="Garamond" w:eastAsia="MS Mincho" w:hAnsi="Garamond"/>
      <w:lang w:val="de-DE"/>
    </w:rPr>
  </w:style>
  <w:style w:type="character" w:customStyle="1" w:styleId="berschrift2Zchn">
    <w:name w:val="Überschrift 2 Zchn"/>
    <w:basedOn w:val="Absatz-Standardschriftart"/>
    <w:link w:val="berschrift2"/>
    <w:uiPriority w:val="9"/>
    <w:rsid w:val="00CD7CD8"/>
    <w:rPr>
      <w:rFonts w:ascii="Garamond" w:eastAsiaTheme="majorEastAsia" w:hAnsi="Garamond" w:cstheme="majorBidi"/>
      <w:b/>
      <w:bCs/>
      <w:sz w:val="28"/>
      <w:szCs w:val="24"/>
      <w:lang w:val="en-GB"/>
    </w:rPr>
  </w:style>
  <w:style w:type="character" w:styleId="Fett">
    <w:name w:val="Strong"/>
    <w:qFormat/>
    <w:rsid w:val="00911730"/>
    <w:rPr>
      <w:b/>
      <w:bCs/>
    </w:rPr>
  </w:style>
  <w:style w:type="character" w:customStyle="1" w:styleId="berschrift3Zchn">
    <w:name w:val="Überschrift 3 Zchn"/>
    <w:basedOn w:val="Absatz-Standardschriftart"/>
    <w:link w:val="berschrift3"/>
    <w:uiPriority w:val="9"/>
    <w:rsid w:val="00CD7CD8"/>
    <w:rPr>
      <w:rFonts w:ascii="Garamond" w:eastAsiaTheme="majorEastAsia" w:hAnsi="Garamond" w:cstheme="majorBidi"/>
      <w:bCs/>
      <w:i/>
      <w:sz w:val="28"/>
      <w:szCs w:val="24"/>
      <w:lang w:val="en-GB"/>
    </w:rPr>
  </w:style>
  <w:style w:type="character" w:styleId="Kommentarzeichen">
    <w:name w:val="annotation reference"/>
    <w:basedOn w:val="Absatz-Standardschriftart"/>
    <w:uiPriority w:val="99"/>
    <w:semiHidden/>
    <w:unhideWhenUsed/>
    <w:rsid w:val="00E86F9E"/>
    <w:rPr>
      <w:sz w:val="16"/>
      <w:szCs w:val="16"/>
    </w:rPr>
  </w:style>
  <w:style w:type="paragraph" w:styleId="Kommentartext">
    <w:name w:val="annotation text"/>
    <w:basedOn w:val="Standard"/>
    <w:link w:val="KommentartextZchn"/>
    <w:uiPriority w:val="99"/>
    <w:semiHidden/>
    <w:unhideWhenUsed/>
    <w:rsid w:val="00E86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6F9E"/>
    <w:rPr>
      <w:sz w:val="20"/>
      <w:szCs w:val="20"/>
    </w:rPr>
  </w:style>
  <w:style w:type="paragraph" w:styleId="Kommentarthema">
    <w:name w:val="annotation subject"/>
    <w:basedOn w:val="Kommentartext"/>
    <w:next w:val="Kommentartext"/>
    <w:link w:val="KommentarthemaZchn"/>
    <w:uiPriority w:val="99"/>
    <w:semiHidden/>
    <w:unhideWhenUsed/>
    <w:rsid w:val="00E86F9E"/>
    <w:rPr>
      <w:b/>
      <w:bCs/>
    </w:rPr>
  </w:style>
  <w:style w:type="character" w:customStyle="1" w:styleId="KommentarthemaZchn">
    <w:name w:val="Kommentarthema Zchn"/>
    <w:basedOn w:val="KommentartextZchn"/>
    <w:link w:val="Kommentarthema"/>
    <w:uiPriority w:val="99"/>
    <w:semiHidden/>
    <w:rsid w:val="00E86F9E"/>
    <w:rPr>
      <w:b/>
      <w:bCs/>
      <w:sz w:val="20"/>
      <w:szCs w:val="20"/>
    </w:rPr>
  </w:style>
  <w:style w:type="character" w:styleId="Hyperlink">
    <w:name w:val="Hyperlink"/>
    <w:basedOn w:val="Absatz-Standardschriftart"/>
    <w:uiPriority w:val="99"/>
    <w:unhideWhenUsed/>
    <w:rsid w:val="00CD7C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6821">
      <w:bodyDiv w:val="1"/>
      <w:marLeft w:val="0"/>
      <w:marRight w:val="0"/>
      <w:marTop w:val="0"/>
      <w:marBottom w:val="0"/>
      <w:divBdr>
        <w:top w:val="none" w:sz="0" w:space="0" w:color="auto"/>
        <w:left w:val="none" w:sz="0" w:space="0" w:color="auto"/>
        <w:bottom w:val="none" w:sz="0" w:space="0" w:color="auto"/>
        <w:right w:val="none" w:sz="0" w:space="0" w:color="auto"/>
      </w:divBdr>
    </w:div>
    <w:div w:id="1389105853">
      <w:bodyDiv w:val="1"/>
      <w:marLeft w:val="0"/>
      <w:marRight w:val="0"/>
      <w:marTop w:val="0"/>
      <w:marBottom w:val="0"/>
      <w:divBdr>
        <w:top w:val="none" w:sz="0" w:space="0" w:color="auto"/>
        <w:left w:val="none" w:sz="0" w:space="0" w:color="auto"/>
        <w:bottom w:val="none" w:sz="0" w:space="0" w:color="auto"/>
        <w:right w:val="none" w:sz="0" w:space="0" w:color="auto"/>
      </w:divBdr>
    </w:div>
    <w:div w:id="1926038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Arts@mpi.l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2ADE-898F-4C2E-861D-B6A5BF30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5683</Words>
  <Characters>35806</Characters>
  <Application>Microsoft Office Word</Application>
  <DocSecurity>0</DocSecurity>
  <Lines>298</Lines>
  <Paragraphs>82</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Max Planck Institute Luxemburg</Company>
  <LinksUpToDate>false</LinksUpToDate>
  <CharactersWithSpaces>41407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Robert</dc:creator>
  <cp:lastModifiedBy>root</cp:lastModifiedBy>
  <cp:revision>7</cp:revision>
  <cp:lastPrinted>2015-10-07T16:48:00Z</cp:lastPrinted>
  <dcterms:created xsi:type="dcterms:W3CDTF">2015-10-08T17:20:00Z</dcterms:created>
  <dcterms:modified xsi:type="dcterms:W3CDTF">2015-10-08T17:57:00Z</dcterms:modified>
</cp:coreProperties>
</file>